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EF" w:rsidRPr="002A6301" w:rsidRDefault="00C01027" w:rsidP="002A6301">
      <w:pPr>
        <w:jc w:val="center"/>
        <w:rPr>
          <w:b/>
          <w:smallCaps/>
          <w:sz w:val="24"/>
        </w:rPr>
      </w:pPr>
      <w:r>
        <w:rPr>
          <w:b/>
          <w:smallCaps/>
          <w:sz w:val="24"/>
        </w:rPr>
        <w:t xml:space="preserve"> </w:t>
      </w:r>
      <w:r w:rsidR="002A6301">
        <w:rPr>
          <w:b/>
          <w:smallCaps/>
          <w:sz w:val="24"/>
        </w:rPr>
        <w:t>Índice Municipal d</w:t>
      </w:r>
      <w:r w:rsidR="002A6301" w:rsidRPr="002A6301">
        <w:rPr>
          <w:b/>
          <w:smallCaps/>
          <w:sz w:val="24"/>
        </w:rPr>
        <w:t>e Medio Ambiente</w:t>
      </w:r>
    </w:p>
    <w:p w:rsidR="002A6301" w:rsidRDefault="002A6301" w:rsidP="00A0142A">
      <w:pPr>
        <w:rPr>
          <w:b/>
        </w:rPr>
      </w:pPr>
    </w:p>
    <w:p w:rsidR="00A0142A" w:rsidRPr="002A6301" w:rsidRDefault="00A0142A" w:rsidP="00A0142A">
      <w:pPr>
        <w:rPr>
          <w:b/>
          <w:smallCaps/>
          <w:sz w:val="24"/>
        </w:rPr>
      </w:pPr>
      <w:r w:rsidRPr="002A6301">
        <w:rPr>
          <w:b/>
          <w:smallCaps/>
          <w:sz w:val="24"/>
        </w:rPr>
        <w:t>Introducción</w:t>
      </w:r>
    </w:p>
    <w:p w:rsidR="002A6301" w:rsidRDefault="002A6301" w:rsidP="007D4A43"/>
    <w:p w:rsidR="00001E61" w:rsidRDefault="00EC0BAD" w:rsidP="007D4A43">
      <w:r w:rsidRPr="00EC0BAD">
        <w:t>La utilización de indicadores es un medio reconocido desde hace tiempo para investigar</w:t>
      </w:r>
      <w:r>
        <w:t xml:space="preserve"> </w:t>
      </w:r>
      <w:r w:rsidRPr="00EC0BAD">
        <w:t>las tendencias y minimizar los riesgos en la esfera de la economía</w:t>
      </w:r>
      <w:r w:rsidR="00595DCC">
        <w:t>.</w:t>
      </w:r>
      <w:r w:rsidR="00031B57">
        <w:t xml:space="preserve"> </w:t>
      </w:r>
      <w:r w:rsidR="00595DCC" w:rsidRPr="00EC0BAD">
        <w:t>El éxito o el fracaso de</w:t>
      </w:r>
      <w:r w:rsidR="00595DCC">
        <w:t xml:space="preserve"> </w:t>
      </w:r>
      <w:r w:rsidR="00595DCC" w:rsidRPr="00EC0BAD">
        <w:t>las políticas orientadas al desarrollo económico pueden</w:t>
      </w:r>
      <w:r w:rsidR="00595DCC">
        <w:t xml:space="preserve"> </w:t>
      </w:r>
      <w:r w:rsidR="00595DCC" w:rsidRPr="00EC0BAD">
        <w:t xml:space="preserve">evaluarse </w:t>
      </w:r>
      <w:r w:rsidR="00001E61">
        <w:t>fácilmente</w:t>
      </w:r>
      <w:r w:rsidR="00595DCC" w:rsidRPr="00EC0BAD">
        <w:t xml:space="preserve"> aplicando indicadores económicos. Sin embargo, el</w:t>
      </w:r>
      <w:r w:rsidR="00595DCC">
        <w:t xml:space="preserve"> </w:t>
      </w:r>
      <w:r w:rsidR="00595DCC" w:rsidRPr="00EC0BAD">
        <w:t>carácter complejo e interdependiente de los tres pilares – económico, ambiental y social –</w:t>
      </w:r>
      <w:r w:rsidR="00595DCC">
        <w:t xml:space="preserve"> </w:t>
      </w:r>
      <w:r w:rsidR="00595DCC" w:rsidRPr="00EC0BAD">
        <w:t>del desarrollo sostenible ha planteado un gran desafío a quienes han tratado de elaborar y</w:t>
      </w:r>
      <w:r w:rsidR="00595DCC">
        <w:t xml:space="preserve"> </w:t>
      </w:r>
      <w:r w:rsidR="00595DCC" w:rsidRPr="00EC0BAD">
        <w:t>utilizar indicadores para medir tal desarrollo</w:t>
      </w:r>
      <w:r w:rsidR="00595DCC">
        <w:t xml:space="preserve"> </w:t>
      </w:r>
      <w:r w:rsidR="00031B57">
        <w:t>(PNUMA, 2003)</w:t>
      </w:r>
      <w:r w:rsidRPr="00EC0BAD">
        <w:t xml:space="preserve">. </w:t>
      </w:r>
    </w:p>
    <w:p w:rsidR="00856E3C" w:rsidRDefault="007D4A43" w:rsidP="00CF6E02">
      <w:r>
        <w:t xml:space="preserve">En prácticamente todas las actividades que involucran decisiones se utilizan indicadores (SEMARNAT, 2009), </w:t>
      </w:r>
      <w:r w:rsidR="00001E61">
        <w:t>l</w:t>
      </w:r>
      <w:r w:rsidR="009C4301" w:rsidRPr="00EC0BAD">
        <w:t>os</w:t>
      </w:r>
      <w:r w:rsidR="00001E61">
        <w:t xml:space="preserve"> cuales proporcionan a los</w:t>
      </w:r>
      <w:r w:rsidR="009C4301" w:rsidRPr="00EC0BAD">
        <w:t xml:space="preserve"> responsables de la toma de decisiones información oportuna, precisa y</w:t>
      </w:r>
      <w:r w:rsidR="009C4301">
        <w:t xml:space="preserve"> </w:t>
      </w:r>
      <w:r w:rsidR="009C4301" w:rsidRPr="00EC0BAD">
        <w:t>confiable sobre el medio ambiente y el desarrollo sostenible</w:t>
      </w:r>
      <w:r w:rsidR="004C4F78">
        <w:t xml:space="preserve"> (PNUMA, 2003)</w:t>
      </w:r>
      <w:r w:rsidR="009C4301" w:rsidRPr="00EC0BAD">
        <w:t xml:space="preserve">. </w:t>
      </w:r>
    </w:p>
    <w:p w:rsidR="009C4301" w:rsidRDefault="009C4301" w:rsidP="009C4301">
      <w:r w:rsidRPr="00EC0BAD">
        <w:t xml:space="preserve">Los indicadores </w:t>
      </w:r>
      <w:r w:rsidR="000C67AB">
        <w:t>pueden</w:t>
      </w:r>
      <w:r w:rsidRPr="00EC0BAD">
        <w:t xml:space="preserve"> convertirse en herramientas importantes para la comunicación de información</w:t>
      </w:r>
      <w:r>
        <w:t xml:space="preserve"> </w:t>
      </w:r>
      <w:r w:rsidRPr="00EC0BAD">
        <w:t>científica y técnica. También pueden facilitar la difusión de esa información a diferentes</w:t>
      </w:r>
      <w:r>
        <w:t xml:space="preserve"> </w:t>
      </w:r>
      <w:r w:rsidRPr="00EC0BAD">
        <w:t>grupos de usuarios y a la sociedad en conjunto, lo que ayuda a transformar la información</w:t>
      </w:r>
      <w:r>
        <w:t xml:space="preserve"> </w:t>
      </w:r>
      <w:r w:rsidRPr="00EC0BAD">
        <w:t>en acción</w:t>
      </w:r>
      <w:r>
        <w:t xml:space="preserve"> (PNUMA, 2003)</w:t>
      </w:r>
      <w:r w:rsidRPr="00EC0BAD">
        <w:t>.</w:t>
      </w:r>
    </w:p>
    <w:p w:rsidR="000C67AB" w:rsidRDefault="000C67AB" w:rsidP="000C67AB">
      <w:r w:rsidRPr="00145358">
        <w:t>Cabe señalar que frecuentemente se utilizan las palabras “parámetro” e “índice” como sinónimos de indicador, sin embargo, no tienen el mismo significado. Un parámetro se define como cualquier propiedad que es medida u observada, mientras que un índice designa a un conjunto agregado o ponderado de parámetros o indicadores (OCDE, 2001</w:t>
      </w:r>
      <w:r>
        <w:t xml:space="preserve"> citado por SEMARNAT, 2009).</w:t>
      </w:r>
    </w:p>
    <w:p w:rsidR="00145358" w:rsidRDefault="00145358" w:rsidP="00145358">
      <w:r>
        <w:t>Cuando se utiliza un parámetro o indicador para describir la situación de un tema, frecuentemente ocurre que no refleja bien la condición del sistema o lo simplifica, de tal suerte que resulta inútil para la toma de decisiones. Por ello, a menudo se recurre a la elaboración de índices y “conjuntos de indicadores”</w:t>
      </w:r>
      <w:r w:rsidR="004C4F78">
        <w:t xml:space="preserve"> (SEMARNAT, 2009)</w:t>
      </w:r>
      <w:r>
        <w:t>.</w:t>
      </w:r>
    </w:p>
    <w:p w:rsidR="00F06693" w:rsidRDefault="00F06693" w:rsidP="00F06693">
      <w:r>
        <w:t>E</w:t>
      </w:r>
      <w:r w:rsidR="002E4A04">
        <w:t>n</w:t>
      </w:r>
      <w:r>
        <w:t xml:space="preserve"> este sentido, para el estado de Jalisco, se tomó la iniciativa por parte de la Gran Alianza por Jalisco, la SEPLAN, COEPO, SEIJAL, el INEGI y el IITEJ de elaborar un Índice de Desarrollo Municipal (IDM); el cual se considera es un instrumento sencillo que resume información sobre cuatro dimensiones a las que se da el mismo peso: Las dimensiones ambiental, económica, institucional y social (Flamand, </w:t>
      </w:r>
      <w:r w:rsidRPr="00687B37">
        <w:rPr>
          <w:i/>
        </w:rPr>
        <w:t>et al</w:t>
      </w:r>
      <w:r>
        <w:t>, 2005).</w:t>
      </w:r>
      <w:r w:rsidR="002E4A04" w:rsidRPr="002E4A04">
        <w:t xml:space="preserve"> </w:t>
      </w:r>
      <w:r w:rsidR="002E4A04">
        <w:t>La SEPLAN realizará el índice de Seguridad y Buen Gobierno, COEPO el índice de Desarrollo Social, SEIJAL el índice de desarrollo económico y el IITEJ el índice de medio ambiente.</w:t>
      </w:r>
    </w:p>
    <w:p w:rsidR="00F06693" w:rsidRDefault="00F06693" w:rsidP="00F06693">
      <w:r>
        <w:t xml:space="preserve">Con el IDM se busca reflejar tendencias generales del nivel de desarrollo de cada municipio respecto a los demás municipios del estado, complementando los indicadores socioeconómicos con indicadores institucionales y ambientales para presentar una imagen integral del nivel de desarrollo de los municipios (Flamand, </w:t>
      </w:r>
      <w:r w:rsidRPr="00687B37">
        <w:rPr>
          <w:i/>
        </w:rPr>
        <w:t>et al</w:t>
      </w:r>
      <w:r>
        <w:t>, 2005).</w:t>
      </w:r>
    </w:p>
    <w:p w:rsidR="002A6301" w:rsidRDefault="002A6301">
      <w:pPr>
        <w:spacing w:before="0" w:after="0"/>
        <w:jc w:val="left"/>
        <w:rPr>
          <w:b/>
          <w:smallCaps/>
          <w:sz w:val="24"/>
        </w:rPr>
      </w:pPr>
      <w:r>
        <w:rPr>
          <w:b/>
          <w:smallCaps/>
          <w:sz w:val="24"/>
        </w:rPr>
        <w:br w:type="page"/>
      </w:r>
    </w:p>
    <w:p w:rsidR="002E4A04" w:rsidRPr="002A6301" w:rsidRDefault="00DB64C0" w:rsidP="00F06693">
      <w:pPr>
        <w:rPr>
          <w:b/>
          <w:smallCaps/>
          <w:sz w:val="24"/>
        </w:rPr>
      </w:pPr>
      <w:r w:rsidRPr="002A6301">
        <w:rPr>
          <w:b/>
          <w:smallCaps/>
          <w:sz w:val="24"/>
        </w:rPr>
        <w:lastRenderedPageBreak/>
        <w:t>Metodología</w:t>
      </w:r>
    </w:p>
    <w:p w:rsidR="002A6301" w:rsidRDefault="002A6301" w:rsidP="00F06693">
      <w:pPr>
        <w:rPr>
          <w:b/>
        </w:rPr>
      </w:pPr>
    </w:p>
    <w:p w:rsidR="00F32054" w:rsidRPr="00DB64C0" w:rsidRDefault="00F32054" w:rsidP="00F06693">
      <w:pPr>
        <w:rPr>
          <w:b/>
        </w:rPr>
      </w:pPr>
      <w:r>
        <w:rPr>
          <w:b/>
        </w:rPr>
        <w:t>Modelo utilizado para la organización de los indicadores</w:t>
      </w:r>
    </w:p>
    <w:p w:rsidR="00DB64C0" w:rsidRDefault="00DB64C0" w:rsidP="00DB64C0">
      <w:r>
        <w:t>En temas complejos, como el ambiental, la utilización de índices permiten una visión general de la situación del ambiente (SEMARNAT, 2009). Para su elaboración, se utilizó uno de los marcos ordenadores más usados, el internacionalmente reconocido de “Presión-Estado-Respuesta” (PER).</w:t>
      </w:r>
    </w:p>
    <w:p w:rsidR="00AE203C" w:rsidRDefault="00AE203C" w:rsidP="00DB64C0">
      <w:r>
        <w:t>El esquema PER está basado en una lógica de causalidad: las actividades humanas ejercen presiones sobre el ambiente y cambian la calidad y cantidad de los recursos naturales (estado). Asimismo, la sociedad responde a estos cambios a través de políticas ambientales, económicas y sectoriales (respuestas) (OCDE, 1993</w:t>
      </w:r>
      <w:r w:rsidR="00E96D49">
        <w:t>, citado por SEMARNAT, 2009</w:t>
      </w:r>
      <w:r>
        <w:t>).</w:t>
      </w:r>
    </w:p>
    <w:p w:rsidR="00DB64C0" w:rsidRDefault="00DB64C0" w:rsidP="00DB64C0">
      <w:r>
        <w:t>El PER fue desarrollado y recomendado originalmente por la OCDE (1993), SCOPE (Ghent Report, 1995) y es compartido, con enmiendas, por otras agencias internacionales como UNSTAT o EUROSTAT</w:t>
      </w:r>
      <w:r w:rsidR="00E96D49">
        <w:t xml:space="preserve"> (SEMARNAT, 2009)</w:t>
      </w:r>
      <w:r>
        <w:t>. En este marco, se estructuran los indicadores en tres categorías:</w:t>
      </w:r>
    </w:p>
    <w:p w:rsidR="00DB64C0" w:rsidRDefault="00DB64C0" w:rsidP="00ED50FC">
      <w:pPr>
        <w:pStyle w:val="Prrafodelista"/>
        <w:numPr>
          <w:ilvl w:val="0"/>
          <w:numId w:val="3"/>
        </w:numPr>
      </w:pPr>
      <w:r>
        <w:t>Los indicadores de presión tratan de responder preguntas sobre las causas del problema. Indicadores de esta naturaleza incluyen emisiones y acumulación de desechos.</w:t>
      </w:r>
    </w:p>
    <w:p w:rsidR="00DB64C0" w:rsidRDefault="00DB64C0" w:rsidP="00ED50FC">
      <w:pPr>
        <w:pStyle w:val="Prrafodelista"/>
        <w:numPr>
          <w:ilvl w:val="0"/>
          <w:numId w:val="3"/>
        </w:numPr>
      </w:pPr>
      <w:r>
        <w:t>Los indicadores de estado responden sobre el estado del ambiente. Estos indicadores incluyen la calidad del aire urbano, la calidad de las aguas subterráneas, los cambios de temperatura, las concentraciones de substancias tóxicas o el número de especies en peligro.</w:t>
      </w:r>
    </w:p>
    <w:p w:rsidR="00DB64C0" w:rsidRDefault="00DB64C0" w:rsidP="00ED50FC">
      <w:pPr>
        <w:pStyle w:val="Prrafodelista"/>
        <w:numPr>
          <w:ilvl w:val="0"/>
          <w:numId w:val="3"/>
        </w:numPr>
      </w:pPr>
      <w:r>
        <w:t>Los indicadores de respuesta tratan de responder preguntas sobre que se está haciendo para resolver el problema. Indicadores de este tipo incluyen los compromisos internacionales o tasas de reciclaje o de eficiencia energética</w:t>
      </w:r>
      <w:r w:rsidR="00AE203C">
        <w:t xml:space="preserve"> (</w:t>
      </w:r>
      <w:r w:rsidR="00E96D49">
        <w:t>Quiroga, 2009</w:t>
      </w:r>
      <w:r w:rsidR="00AE203C">
        <w:t>)</w:t>
      </w:r>
      <w:r>
        <w:t>.</w:t>
      </w:r>
    </w:p>
    <w:p w:rsidR="00AE203C" w:rsidRDefault="00AE203C" w:rsidP="00AE203C">
      <w:r>
        <w:t>Es importante señalar que, si bien resulta un esquema lógico en términos de la relación entre presiones, estado y acciones, sugiere una relación lineal de la interacción entre las actividades humanas y el ambiente, la cual no suele ser cierta y oculta los aspectos complejos de estas interacciones (SEMARNAT, 200</w:t>
      </w:r>
      <w:r w:rsidR="00E96D49">
        <w:t>9</w:t>
      </w:r>
      <w:r>
        <w:t xml:space="preserve">). </w:t>
      </w:r>
    </w:p>
    <w:p w:rsidR="00ED50FC" w:rsidRDefault="00AE203C" w:rsidP="00AE203C">
      <w:r>
        <w:t>En este esquema de organizació</w:t>
      </w:r>
      <w:r w:rsidR="000972C8">
        <w:t>n (PER), los indicadores se clasificaron</w:t>
      </w:r>
      <w:r>
        <w:t xml:space="preserve"> en tres grupos: presión, estado y respuesta.</w:t>
      </w:r>
    </w:p>
    <w:p w:rsidR="00141153" w:rsidRDefault="00141153" w:rsidP="00141153">
      <w:pPr>
        <w:pStyle w:val="Epgrafe"/>
        <w:keepNext/>
      </w:pPr>
      <w:bookmarkStart w:id="0" w:name="_Ref310854806"/>
      <w:r>
        <w:t xml:space="preserve">Tabla </w:t>
      </w:r>
      <w:fldSimple w:instr=" SEQ Tabla \* ARABIC ">
        <w:r>
          <w:rPr>
            <w:noProof/>
          </w:rPr>
          <w:t>1</w:t>
        </w:r>
      </w:fldSimple>
      <w:bookmarkEnd w:id="0"/>
      <w:r>
        <w:t>. Clasificación de los indicadores de acuerdo al esquema de Presión, Estado y Respuesta</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8"/>
        <w:gridCol w:w="2470"/>
      </w:tblGrid>
      <w:tr w:rsidR="000972C8" w:rsidRPr="00AB5EC8" w:rsidTr="00554DC0">
        <w:trPr>
          <w:jc w:val="center"/>
        </w:trPr>
        <w:tc>
          <w:tcPr>
            <w:tcW w:w="1664" w:type="pct"/>
            <w:tcBorders>
              <w:bottom w:val="single" w:sz="4" w:space="0" w:color="auto"/>
            </w:tcBorders>
            <w:shd w:val="clear" w:color="auto" w:fill="CC0000"/>
            <w:vAlign w:val="center"/>
          </w:tcPr>
          <w:p w:rsidR="000972C8" w:rsidRPr="00AB5EC8" w:rsidRDefault="000972C8" w:rsidP="005866AA">
            <w:pPr>
              <w:spacing w:after="0"/>
              <w:jc w:val="center"/>
              <w:rPr>
                <w:b/>
                <w:sz w:val="20"/>
                <w:szCs w:val="20"/>
              </w:rPr>
            </w:pPr>
            <w:r w:rsidRPr="00AB5EC8">
              <w:rPr>
                <w:b/>
                <w:sz w:val="20"/>
                <w:szCs w:val="20"/>
              </w:rPr>
              <w:t>ÍNDICE DE PRESIÓN</w:t>
            </w:r>
          </w:p>
        </w:tc>
        <w:tc>
          <w:tcPr>
            <w:tcW w:w="1664" w:type="pct"/>
            <w:tcBorders>
              <w:bottom w:val="single" w:sz="4" w:space="0" w:color="auto"/>
            </w:tcBorders>
            <w:shd w:val="clear" w:color="auto" w:fill="FFFF00"/>
            <w:vAlign w:val="center"/>
          </w:tcPr>
          <w:p w:rsidR="000972C8" w:rsidRPr="00AB5EC8" w:rsidRDefault="000972C8" w:rsidP="005866AA">
            <w:pPr>
              <w:spacing w:after="0"/>
              <w:jc w:val="center"/>
              <w:rPr>
                <w:b/>
                <w:sz w:val="20"/>
                <w:szCs w:val="20"/>
              </w:rPr>
            </w:pPr>
            <w:r w:rsidRPr="00AB5EC8">
              <w:rPr>
                <w:b/>
                <w:sz w:val="20"/>
                <w:szCs w:val="20"/>
              </w:rPr>
              <w:t>ÍNDICE DE ESTADO</w:t>
            </w:r>
          </w:p>
        </w:tc>
        <w:tc>
          <w:tcPr>
            <w:tcW w:w="1672" w:type="pct"/>
            <w:tcBorders>
              <w:bottom w:val="single" w:sz="4" w:space="0" w:color="auto"/>
            </w:tcBorders>
            <w:shd w:val="clear" w:color="auto" w:fill="00B050"/>
            <w:vAlign w:val="center"/>
          </w:tcPr>
          <w:p w:rsidR="000972C8" w:rsidRPr="00AB5EC8" w:rsidRDefault="000972C8" w:rsidP="005866AA">
            <w:pPr>
              <w:spacing w:after="0"/>
              <w:jc w:val="center"/>
              <w:rPr>
                <w:b/>
                <w:sz w:val="20"/>
                <w:szCs w:val="20"/>
              </w:rPr>
            </w:pPr>
            <w:r w:rsidRPr="00AB5EC8">
              <w:rPr>
                <w:b/>
                <w:sz w:val="20"/>
                <w:szCs w:val="20"/>
              </w:rPr>
              <w:t>ÍNDICE DE RESPUESTA</w:t>
            </w:r>
          </w:p>
        </w:tc>
      </w:tr>
      <w:tr w:rsidR="000972C8" w:rsidRPr="00AB5EC8" w:rsidTr="00554DC0">
        <w:trPr>
          <w:jc w:val="center"/>
        </w:trPr>
        <w:tc>
          <w:tcPr>
            <w:tcW w:w="1664" w:type="pct"/>
            <w:tcBorders>
              <w:top w:val="single" w:sz="4" w:space="0" w:color="auto"/>
              <w:left w:val="single" w:sz="4" w:space="0" w:color="auto"/>
              <w:right w:val="single" w:sz="4" w:space="0" w:color="auto"/>
            </w:tcBorders>
            <w:shd w:val="clear" w:color="auto" w:fill="FEE0DE"/>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Generación de residuos sólidos municipales</w:t>
            </w:r>
          </w:p>
        </w:tc>
        <w:tc>
          <w:tcPr>
            <w:tcW w:w="1664" w:type="pct"/>
            <w:tcBorders>
              <w:top w:val="single" w:sz="4" w:space="0" w:color="auto"/>
              <w:left w:val="single" w:sz="4" w:space="0" w:color="auto"/>
              <w:right w:val="single" w:sz="4" w:space="0" w:color="auto"/>
            </w:tcBorders>
            <w:shd w:val="clear" w:color="auto" w:fill="FFFFB9"/>
            <w:vAlign w:val="center"/>
          </w:tcPr>
          <w:p w:rsidR="000972C8" w:rsidRPr="00AB5EC8" w:rsidRDefault="000972C8" w:rsidP="00277FCF">
            <w:pPr>
              <w:pStyle w:val="Prrafodelista"/>
              <w:spacing w:after="0"/>
              <w:ind w:left="66"/>
              <w:jc w:val="left"/>
              <w:rPr>
                <w:rFonts w:cs="Arial"/>
                <w:sz w:val="20"/>
                <w:szCs w:val="20"/>
              </w:rPr>
            </w:pPr>
          </w:p>
        </w:tc>
        <w:tc>
          <w:tcPr>
            <w:tcW w:w="1672" w:type="pct"/>
            <w:tcBorders>
              <w:top w:val="single" w:sz="4" w:space="0" w:color="auto"/>
              <w:left w:val="single" w:sz="4" w:space="0" w:color="auto"/>
              <w:right w:val="single" w:sz="4" w:space="0" w:color="auto"/>
            </w:tcBorders>
            <w:shd w:val="clear" w:color="auto" w:fill="CDFFE4"/>
            <w:vAlign w:val="center"/>
          </w:tcPr>
          <w:p w:rsidR="000972C8" w:rsidRPr="00AB5EC8" w:rsidRDefault="000972C8" w:rsidP="00277FCF">
            <w:pPr>
              <w:pStyle w:val="Prrafodelista"/>
              <w:spacing w:after="0"/>
              <w:ind w:left="0"/>
              <w:jc w:val="left"/>
              <w:rPr>
                <w:rFonts w:cs="Arial"/>
                <w:sz w:val="20"/>
                <w:szCs w:val="20"/>
              </w:rPr>
            </w:pPr>
          </w:p>
        </w:tc>
      </w:tr>
      <w:tr w:rsidR="000972C8" w:rsidRPr="00AB5EC8" w:rsidTr="00554DC0">
        <w:trPr>
          <w:jc w:val="center"/>
        </w:trPr>
        <w:tc>
          <w:tcPr>
            <w:tcW w:w="1664" w:type="pct"/>
            <w:tcBorders>
              <w:left w:val="single" w:sz="4" w:space="0" w:color="auto"/>
              <w:bottom w:val="nil"/>
              <w:right w:val="single" w:sz="4" w:space="0" w:color="auto"/>
            </w:tcBorders>
            <w:shd w:val="clear" w:color="auto" w:fill="FEE0DE"/>
            <w:vAlign w:val="center"/>
          </w:tcPr>
          <w:p w:rsidR="000972C8" w:rsidRPr="00AB5EC8" w:rsidRDefault="000972C8" w:rsidP="00277FCF">
            <w:pPr>
              <w:pStyle w:val="Prrafodelista"/>
              <w:spacing w:after="0"/>
              <w:ind w:left="0"/>
              <w:jc w:val="left"/>
              <w:rPr>
                <w:rFonts w:cs="Arial"/>
                <w:sz w:val="20"/>
                <w:szCs w:val="20"/>
              </w:rPr>
            </w:pPr>
          </w:p>
        </w:tc>
        <w:tc>
          <w:tcPr>
            <w:tcW w:w="1664" w:type="pct"/>
            <w:tcBorders>
              <w:left w:val="single" w:sz="4" w:space="0" w:color="auto"/>
              <w:bottom w:val="nil"/>
              <w:right w:val="single" w:sz="4" w:space="0" w:color="auto"/>
            </w:tcBorders>
            <w:shd w:val="clear" w:color="auto" w:fill="FFFFB9"/>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Explotación de los acuíferos</w:t>
            </w:r>
          </w:p>
        </w:tc>
        <w:tc>
          <w:tcPr>
            <w:tcW w:w="1672" w:type="pct"/>
            <w:tcBorders>
              <w:left w:val="single" w:sz="4" w:space="0" w:color="auto"/>
              <w:bottom w:val="nil"/>
              <w:right w:val="single" w:sz="4" w:space="0" w:color="auto"/>
            </w:tcBorders>
            <w:shd w:val="clear" w:color="auto" w:fill="CDFFE4"/>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Cobertura de abastecimiento de agua</w:t>
            </w:r>
          </w:p>
        </w:tc>
      </w:tr>
      <w:tr w:rsidR="000972C8" w:rsidRPr="00AB5EC8" w:rsidTr="00554DC0">
        <w:trPr>
          <w:jc w:val="center"/>
        </w:trPr>
        <w:tc>
          <w:tcPr>
            <w:tcW w:w="1664" w:type="pct"/>
            <w:tcBorders>
              <w:top w:val="nil"/>
              <w:left w:val="single" w:sz="4" w:space="0" w:color="auto"/>
              <w:bottom w:val="nil"/>
              <w:right w:val="single" w:sz="4" w:space="0" w:color="auto"/>
            </w:tcBorders>
            <w:shd w:val="clear" w:color="auto" w:fill="FEE0DE"/>
            <w:vAlign w:val="center"/>
          </w:tcPr>
          <w:p w:rsidR="000972C8" w:rsidRPr="00AB5EC8" w:rsidRDefault="000972C8" w:rsidP="00277FCF">
            <w:pPr>
              <w:pStyle w:val="Prrafodelista"/>
              <w:spacing w:after="0"/>
              <w:ind w:left="0"/>
              <w:jc w:val="left"/>
              <w:rPr>
                <w:rFonts w:cs="Arial"/>
                <w:sz w:val="20"/>
                <w:szCs w:val="20"/>
              </w:rPr>
            </w:pPr>
          </w:p>
        </w:tc>
        <w:tc>
          <w:tcPr>
            <w:tcW w:w="1664" w:type="pct"/>
            <w:tcBorders>
              <w:top w:val="nil"/>
              <w:left w:val="single" w:sz="4" w:space="0" w:color="auto"/>
              <w:bottom w:val="nil"/>
              <w:right w:val="single" w:sz="4" w:space="0" w:color="auto"/>
            </w:tcBorders>
            <w:shd w:val="clear" w:color="auto" w:fill="FFFFB9"/>
            <w:vAlign w:val="center"/>
          </w:tcPr>
          <w:p w:rsidR="000972C8" w:rsidRPr="00AB5EC8" w:rsidRDefault="000972C8" w:rsidP="00277FCF">
            <w:pPr>
              <w:spacing w:after="0"/>
              <w:jc w:val="left"/>
              <w:rPr>
                <w:sz w:val="20"/>
                <w:szCs w:val="20"/>
              </w:rPr>
            </w:pPr>
          </w:p>
        </w:tc>
        <w:tc>
          <w:tcPr>
            <w:tcW w:w="1672" w:type="pct"/>
            <w:tcBorders>
              <w:top w:val="nil"/>
              <w:left w:val="single" w:sz="4" w:space="0" w:color="auto"/>
              <w:bottom w:val="nil"/>
              <w:right w:val="single" w:sz="4" w:space="0" w:color="auto"/>
            </w:tcBorders>
            <w:shd w:val="clear" w:color="auto" w:fill="CDFFE4"/>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Cobertura de drenaje</w:t>
            </w:r>
          </w:p>
        </w:tc>
      </w:tr>
      <w:tr w:rsidR="000972C8" w:rsidRPr="00AB5EC8" w:rsidTr="00554DC0">
        <w:trPr>
          <w:jc w:val="center"/>
        </w:trPr>
        <w:tc>
          <w:tcPr>
            <w:tcW w:w="1664" w:type="pct"/>
            <w:tcBorders>
              <w:left w:val="single" w:sz="4" w:space="0" w:color="auto"/>
              <w:bottom w:val="nil"/>
              <w:right w:val="single" w:sz="4" w:space="0" w:color="auto"/>
            </w:tcBorders>
            <w:shd w:val="clear" w:color="auto" w:fill="FEE0DE"/>
            <w:vAlign w:val="center"/>
          </w:tcPr>
          <w:p w:rsidR="000972C8" w:rsidRPr="00AB5EC8" w:rsidRDefault="000972C8" w:rsidP="00277FCF">
            <w:pPr>
              <w:pStyle w:val="Prrafodelista"/>
              <w:spacing w:after="0"/>
              <w:ind w:left="426"/>
              <w:jc w:val="left"/>
              <w:rPr>
                <w:rFonts w:cs="Arial"/>
                <w:sz w:val="20"/>
                <w:szCs w:val="20"/>
              </w:rPr>
            </w:pPr>
          </w:p>
        </w:tc>
        <w:tc>
          <w:tcPr>
            <w:tcW w:w="1664" w:type="pct"/>
            <w:tcBorders>
              <w:left w:val="single" w:sz="4" w:space="0" w:color="auto"/>
              <w:bottom w:val="nil"/>
              <w:right w:val="single" w:sz="4" w:space="0" w:color="auto"/>
            </w:tcBorders>
            <w:shd w:val="clear" w:color="auto" w:fill="FFFFB9"/>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Especies en NOM</w:t>
            </w:r>
          </w:p>
        </w:tc>
        <w:tc>
          <w:tcPr>
            <w:tcW w:w="1672" w:type="pct"/>
            <w:tcBorders>
              <w:left w:val="single" w:sz="4" w:space="0" w:color="auto"/>
              <w:bottom w:val="nil"/>
              <w:right w:val="single" w:sz="4" w:space="0" w:color="auto"/>
            </w:tcBorders>
            <w:shd w:val="clear" w:color="auto" w:fill="CDFFE4"/>
            <w:vAlign w:val="center"/>
          </w:tcPr>
          <w:p w:rsidR="000972C8" w:rsidRPr="00AB5EC8" w:rsidRDefault="000972C8" w:rsidP="00277FCF">
            <w:pPr>
              <w:pStyle w:val="Prrafodelista"/>
              <w:spacing w:after="0"/>
              <w:ind w:left="0"/>
              <w:jc w:val="left"/>
              <w:rPr>
                <w:rFonts w:cs="Arial"/>
                <w:sz w:val="20"/>
                <w:szCs w:val="20"/>
              </w:rPr>
            </w:pPr>
          </w:p>
        </w:tc>
      </w:tr>
      <w:tr w:rsidR="00BC2A5C" w:rsidRPr="00AB5EC8" w:rsidTr="00554DC0">
        <w:trPr>
          <w:jc w:val="center"/>
        </w:trPr>
        <w:tc>
          <w:tcPr>
            <w:tcW w:w="1664" w:type="pct"/>
            <w:tcBorders>
              <w:left w:val="single" w:sz="4" w:space="0" w:color="auto"/>
              <w:bottom w:val="nil"/>
              <w:right w:val="single" w:sz="4" w:space="0" w:color="auto"/>
            </w:tcBorders>
            <w:shd w:val="clear" w:color="auto" w:fill="FEE0DE"/>
            <w:vAlign w:val="center"/>
          </w:tcPr>
          <w:p w:rsidR="00BC2A5C" w:rsidRPr="00AB5EC8" w:rsidRDefault="00BC2A5C" w:rsidP="00277FCF">
            <w:pPr>
              <w:pStyle w:val="Prrafodelista"/>
              <w:spacing w:after="0"/>
              <w:ind w:left="426"/>
              <w:jc w:val="left"/>
              <w:rPr>
                <w:rFonts w:cs="Arial"/>
                <w:sz w:val="20"/>
                <w:szCs w:val="20"/>
              </w:rPr>
            </w:pPr>
          </w:p>
        </w:tc>
        <w:tc>
          <w:tcPr>
            <w:tcW w:w="1664" w:type="pct"/>
            <w:tcBorders>
              <w:left w:val="single" w:sz="4" w:space="0" w:color="auto"/>
              <w:bottom w:val="nil"/>
              <w:right w:val="single" w:sz="4" w:space="0" w:color="auto"/>
            </w:tcBorders>
            <w:shd w:val="clear" w:color="auto" w:fill="FFFFB9"/>
            <w:vAlign w:val="center"/>
          </w:tcPr>
          <w:p w:rsidR="00BC2A5C" w:rsidRDefault="003F4D33" w:rsidP="003F4D33">
            <w:pPr>
              <w:pStyle w:val="Prrafodelista"/>
              <w:numPr>
                <w:ilvl w:val="0"/>
                <w:numId w:val="1"/>
              </w:numPr>
              <w:spacing w:after="0"/>
              <w:ind w:left="426"/>
              <w:jc w:val="left"/>
              <w:rPr>
                <w:rFonts w:cs="Arial"/>
                <w:sz w:val="20"/>
                <w:szCs w:val="20"/>
              </w:rPr>
            </w:pPr>
            <w:r>
              <w:rPr>
                <w:rFonts w:cs="Arial"/>
                <w:sz w:val="20"/>
                <w:szCs w:val="20"/>
              </w:rPr>
              <w:t xml:space="preserve">UGAs </w:t>
            </w:r>
            <w:r w:rsidR="00BC2A5C">
              <w:rPr>
                <w:rFonts w:cs="Arial"/>
                <w:sz w:val="20"/>
                <w:szCs w:val="20"/>
              </w:rPr>
              <w:t xml:space="preserve">con </w:t>
            </w:r>
            <w:r w:rsidR="00FB23CC">
              <w:rPr>
                <w:rFonts w:cs="Arial"/>
                <w:sz w:val="20"/>
                <w:szCs w:val="20"/>
              </w:rPr>
              <w:t>vocación</w:t>
            </w:r>
            <w:r w:rsidR="00BC2A5C">
              <w:rPr>
                <w:rFonts w:cs="Arial"/>
                <w:sz w:val="20"/>
                <w:szCs w:val="20"/>
              </w:rPr>
              <w:t xml:space="preserve"> para la conservación</w:t>
            </w:r>
          </w:p>
        </w:tc>
        <w:tc>
          <w:tcPr>
            <w:tcW w:w="1672" w:type="pct"/>
            <w:tcBorders>
              <w:left w:val="single" w:sz="4" w:space="0" w:color="auto"/>
              <w:bottom w:val="nil"/>
              <w:right w:val="single" w:sz="4" w:space="0" w:color="auto"/>
            </w:tcBorders>
            <w:shd w:val="clear" w:color="auto" w:fill="CDFFE4"/>
            <w:vAlign w:val="center"/>
          </w:tcPr>
          <w:p w:rsidR="00BC2A5C" w:rsidRDefault="00277FCF" w:rsidP="00277FCF">
            <w:pPr>
              <w:pStyle w:val="Prrafodelista"/>
              <w:numPr>
                <w:ilvl w:val="0"/>
                <w:numId w:val="1"/>
              </w:numPr>
              <w:spacing w:after="0"/>
              <w:ind w:left="426"/>
              <w:jc w:val="left"/>
              <w:rPr>
                <w:rFonts w:cs="Arial"/>
                <w:sz w:val="20"/>
                <w:szCs w:val="20"/>
              </w:rPr>
            </w:pPr>
            <w:r>
              <w:rPr>
                <w:rFonts w:cs="Arial"/>
                <w:sz w:val="20"/>
                <w:szCs w:val="20"/>
              </w:rPr>
              <w:t>Áreas Naturales Protegidas</w:t>
            </w:r>
          </w:p>
        </w:tc>
      </w:tr>
      <w:tr w:rsidR="000972C8" w:rsidRPr="00AB5EC8" w:rsidTr="00554DC0">
        <w:trPr>
          <w:jc w:val="center"/>
        </w:trPr>
        <w:tc>
          <w:tcPr>
            <w:tcW w:w="1664" w:type="pct"/>
            <w:tcBorders>
              <w:left w:val="single" w:sz="4" w:space="0" w:color="auto"/>
              <w:bottom w:val="single" w:sz="4" w:space="0" w:color="auto"/>
              <w:right w:val="single" w:sz="4" w:space="0" w:color="auto"/>
            </w:tcBorders>
            <w:shd w:val="clear" w:color="auto" w:fill="FEE0DE"/>
            <w:vAlign w:val="center"/>
          </w:tcPr>
          <w:p w:rsidR="000972C8" w:rsidRPr="00A0142A" w:rsidRDefault="000972C8" w:rsidP="00277FCF">
            <w:pPr>
              <w:pStyle w:val="Prrafodelista"/>
              <w:numPr>
                <w:ilvl w:val="0"/>
                <w:numId w:val="1"/>
              </w:numPr>
              <w:spacing w:after="0"/>
              <w:ind w:left="426"/>
              <w:jc w:val="left"/>
              <w:rPr>
                <w:sz w:val="20"/>
                <w:szCs w:val="20"/>
              </w:rPr>
            </w:pPr>
            <w:r w:rsidRPr="00A0142A">
              <w:rPr>
                <w:sz w:val="20"/>
                <w:szCs w:val="20"/>
              </w:rPr>
              <w:lastRenderedPageBreak/>
              <w:t>Deforestación</w:t>
            </w:r>
          </w:p>
        </w:tc>
        <w:tc>
          <w:tcPr>
            <w:tcW w:w="1664" w:type="pct"/>
            <w:tcBorders>
              <w:left w:val="single" w:sz="4" w:space="0" w:color="auto"/>
              <w:bottom w:val="single" w:sz="4" w:space="0" w:color="auto"/>
              <w:right w:val="single" w:sz="4" w:space="0" w:color="auto"/>
            </w:tcBorders>
            <w:shd w:val="clear" w:color="auto" w:fill="FFFFB9"/>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Cobertura forestal</w:t>
            </w:r>
          </w:p>
        </w:tc>
        <w:tc>
          <w:tcPr>
            <w:tcW w:w="1672" w:type="pct"/>
            <w:tcBorders>
              <w:left w:val="single" w:sz="4" w:space="0" w:color="auto"/>
              <w:bottom w:val="single" w:sz="4" w:space="0" w:color="auto"/>
              <w:right w:val="single" w:sz="4" w:space="0" w:color="auto"/>
            </w:tcBorders>
            <w:shd w:val="clear" w:color="auto" w:fill="CDFFE4"/>
            <w:vAlign w:val="center"/>
          </w:tcPr>
          <w:p w:rsidR="000972C8" w:rsidRPr="00AB5EC8" w:rsidRDefault="000972C8" w:rsidP="00277FCF">
            <w:pPr>
              <w:pStyle w:val="Prrafodelista"/>
              <w:numPr>
                <w:ilvl w:val="0"/>
                <w:numId w:val="1"/>
              </w:numPr>
              <w:spacing w:after="0"/>
              <w:ind w:left="426"/>
              <w:jc w:val="left"/>
              <w:rPr>
                <w:rFonts w:cs="Arial"/>
                <w:sz w:val="20"/>
                <w:szCs w:val="20"/>
              </w:rPr>
            </w:pPr>
            <w:r>
              <w:rPr>
                <w:rFonts w:cs="Arial"/>
                <w:sz w:val="20"/>
                <w:szCs w:val="20"/>
              </w:rPr>
              <w:t>Recuperación</w:t>
            </w:r>
          </w:p>
        </w:tc>
      </w:tr>
      <w:tr w:rsidR="000972C8" w:rsidRPr="00AB5EC8" w:rsidTr="00554DC0">
        <w:trPr>
          <w:jc w:val="center"/>
        </w:trPr>
        <w:tc>
          <w:tcPr>
            <w:tcW w:w="1664" w:type="pct"/>
            <w:tcBorders>
              <w:left w:val="single" w:sz="4" w:space="0" w:color="auto"/>
              <w:right w:val="single" w:sz="4" w:space="0" w:color="auto"/>
            </w:tcBorders>
            <w:shd w:val="clear" w:color="auto" w:fill="FEE0DE"/>
            <w:vAlign w:val="center"/>
          </w:tcPr>
          <w:p w:rsidR="000972C8" w:rsidRPr="00AB5EC8" w:rsidRDefault="000972C8" w:rsidP="00277FCF">
            <w:pPr>
              <w:pStyle w:val="Prrafodelista"/>
              <w:spacing w:after="0"/>
              <w:ind w:left="426"/>
              <w:jc w:val="left"/>
              <w:rPr>
                <w:rFonts w:cs="Arial"/>
                <w:sz w:val="20"/>
                <w:szCs w:val="20"/>
              </w:rPr>
            </w:pPr>
          </w:p>
        </w:tc>
        <w:tc>
          <w:tcPr>
            <w:tcW w:w="1664" w:type="pct"/>
            <w:tcBorders>
              <w:left w:val="single" w:sz="4" w:space="0" w:color="auto"/>
              <w:right w:val="single" w:sz="4" w:space="0" w:color="auto"/>
            </w:tcBorders>
            <w:shd w:val="clear" w:color="auto" w:fill="FFFFB9"/>
            <w:vAlign w:val="center"/>
          </w:tcPr>
          <w:p w:rsidR="000972C8" w:rsidRPr="00AB5EC8" w:rsidRDefault="000972C8" w:rsidP="00277FCF">
            <w:pPr>
              <w:pStyle w:val="Prrafodelista"/>
              <w:numPr>
                <w:ilvl w:val="0"/>
                <w:numId w:val="1"/>
              </w:numPr>
              <w:spacing w:after="0"/>
              <w:ind w:left="426"/>
              <w:jc w:val="left"/>
              <w:rPr>
                <w:rFonts w:cs="Arial"/>
                <w:sz w:val="20"/>
                <w:szCs w:val="20"/>
              </w:rPr>
            </w:pPr>
            <w:r w:rsidRPr="00AB5EC8">
              <w:rPr>
                <w:rFonts w:cs="Arial"/>
                <w:sz w:val="20"/>
                <w:szCs w:val="20"/>
              </w:rPr>
              <w:t>Riesgo de erosión</w:t>
            </w:r>
          </w:p>
        </w:tc>
        <w:tc>
          <w:tcPr>
            <w:tcW w:w="1672" w:type="pct"/>
            <w:tcBorders>
              <w:left w:val="single" w:sz="4" w:space="0" w:color="auto"/>
              <w:right w:val="single" w:sz="4" w:space="0" w:color="auto"/>
            </w:tcBorders>
            <w:shd w:val="clear" w:color="auto" w:fill="CDFFE4"/>
            <w:vAlign w:val="center"/>
          </w:tcPr>
          <w:p w:rsidR="000972C8" w:rsidRPr="00AB5EC8" w:rsidRDefault="000972C8" w:rsidP="00277FCF">
            <w:pPr>
              <w:pStyle w:val="Prrafodelista"/>
              <w:spacing w:after="0"/>
              <w:ind w:left="0"/>
              <w:jc w:val="left"/>
              <w:rPr>
                <w:rFonts w:cs="Arial"/>
                <w:sz w:val="20"/>
                <w:szCs w:val="20"/>
              </w:rPr>
            </w:pPr>
          </w:p>
        </w:tc>
      </w:tr>
      <w:tr w:rsidR="000972C8" w:rsidRPr="00AB5EC8" w:rsidTr="00554DC0">
        <w:trPr>
          <w:jc w:val="center"/>
        </w:trPr>
        <w:tc>
          <w:tcPr>
            <w:tcW w:w="1664" w:type="pct"/>
            <w:tcBorders>
              <w:left w:val="single" w:sz="4" w:space="0" w:color="auto"/>
              <w:bottom w:val="single" w:sz="4" w:space="0" w:color="auto"/>
              <w:right w:val="single" w:sz="4" w:space="0" w:color="auto"/>
            </w:tcBorders>
            <w:shd w:val="clear" w:color="auto" w:fill="FEE0DE"/>
            <w:vAlign w:val="center"/>
          </w:tcPr>
          <w:p w:rsidR="000972C8" w:rsidRPr="00AB5EC8" w:rsidRDefault="000972C8" w:rsidP="00277FCF">
            <w:pPr>
              <w:pStyle w:val="Prrafodelista"/>
              <w:spacing w:after="0"/>
              <w:ind w:left="426"/>
              <w:jc w:val="left"/>
              <w:rPr>
                <w:rFonts w:cs="Arial"/>
                <w:sz w:val="20"/>
                <w:szCs w:val="20"/>
              </w:rPr>
            </w:pPr>
          </w:p>
        </w:tc>
        <w:tc>
          <w:tcPr>
            <w:tcW w:w="1664" w:type="pct"/>
            <w:tcBorders>
              <w:left w:val="single" w:sz="4" w:space="0" w:color="auto"/>
              <w:bottom w:val="single" w:sz="4" w:space="0" w:color="auto"/>
              <w:right w:val="single" w:sz="4" w:space="0" w:color="auto"/>
            </w:tcBorders>
            <w:shd w:val="clear" w:color="auto" w:fill="FFFFB9"/>
            <w:vAlign w:val="center"/>
          </w:tcPr>
          <w:p w:rsidR="000972C8" w:rsidRPr="00393088" w:rsidRDefault="000972C8" w:rsidP="00277FCF">
            <w:pPr>
              <w:pStyle w:val="Prrafodelista"/>
              <w:numPr>
                <w:ilvl w:val="0"/>
                <w:numId w:val="1"/>
              </w:numPr>
              <w:spacing w:after="0"/>
              <w:ind w:left="426"/>
              <w:jc w:val="left"/>
              <w:rPr>
                <w:rFonts w:cs="Arial"/>
                <w:sz w:val="20"/>
                <w:szCs w:val="20"/>
              </w:rPr>
            </w:pPr>
            <w:r w:rsidRPr="00393088">
              <w:rPr>
                <w:rFonts w:cs="Arial"/>
                <w:sz w:val="20"/>
                <w:szCs w:val="20"/>
              </w:rPr>
              <w:t>Emisión y transmisión de contaminantes</w:t>
            </w:r>
          </w:p>
        </w:tc>
        <w:tc>
          <w:tcPr>
            <w:tcW w:w="1672" w:type="pct"/>
            <w:tcBorders>
              <w:left w:val="single" w:sz="4" w:space="0" w:color="auto"/>
              <w:bottom w:val="single" w:sz="4" w:space="0" w:color="auto"/>
              <w:right w:val="single" w:sz="4" w:space="0" w:color="auto"/>
            </w:tcBorders>
            <w:shd w:val="clear" w:color="auto" w:fill="CDFFE4"/>
            <w:vAlign w:val="center"/>
          </w:tcPr>
          <w:p w:rsidR="000972C8" w:rsidRPr="00AB5EC8" w:rsidRDefault="000972C8" w:rsidP="00277FCF">
            <w:pPr>
              <w:pStyle w:val="Prrafodelista"/>
              <w:spacing w:after="0"/>
              <w:ind w:left="0"/>
              <w:jc w:val="left"/>
              <w:rPr>
                <w:rFonts w:cs="Arial"/>
                <w:sz w:val="20"/>
                <w:szCs w:val="20"/>
              </w:rPr>
            </w:pPr>
          </w:p>
        </w:tc>
      </w:tr>
    </w:tbl>
    <w:p w:rsidR="000972C8" w:rsidRDefault="000972C8" w:rsidP="00AE203C"/>
    <w:p w:rsidR="001E27DC" w:rsidRPr="00777105" w:rsidRDefault="00525BF5" w:rsidP="000972C8">
      <w:pPr>
        <w:rPr>
          <w:b/>
        </w:rPr>
      </w:pPr>
      <w:r w:rsidRPr="00777105">
        <w:rPr>
          <w:b/>
        </w:rPr>
        <w:t>Obtención de los valores de los indicadores</w:t>
      </w:r>
      <w:r w:rsidR="00127F44">
        <w:rPr>
          <w:b/>
        </w:rPr>
        <w:t xml:space="preserve"> y del índice</w:t>
      </w:r>
    </w:p>
    <w:p w:rsidR="00777105" w:rsidRDefault="00777105" w:rsidP="000972C8">
      <w:r>
        <w:t xml:space="preserve">Los indicadores fueron calculados utilizando, en su mayoría, una fórmula para obtener la razón existente entre la superficie ocupada por la variable a evaluar y la superficie total del municipio; para los indicadores que no manejan superficies, se obtuvieron calculando la relación entre el valor de la variable y el valor máximo acumulado de las variables para todos los municipios. </w:t>
      </w:r>
    </w:p>
    <w:p w:rsidR="00777105" w:rsidRDefault="00777105" w:rsidP="000972C8">
      <w:r>
        <w:t xml:space="preserve">En la sección de resultados se presenta de manera detallada para cada indicador la manera en que se obtuvo dicho valor. </w:t>
      </w:r>
    </w:p>
    <w:p w:rsidR="006A0A12" w:rsidRDefault="006A0A12" w:rsidP="006A0A12">
      <w:r>
        <w:t xml:space="preserve">La metodología seleccionada para el cálculo del IMMA fue utilizada por Flamand, </w:t>
      </w:r>
      <w:r w:rsidRPr="00687B37">
        <w:rPr>
          <w:i/>
        </w:rPr>
        <w:t>et al</w:t>
      </w:r>
      <w:r>
        <w:t xml:space="preserve">, en el 2005 para el cálculo del Índice de Desarrollo Municipal básico, realizando las adecuaciones pertinentes para el </w:t>
      </w:r>
      <w:r w:rsidR="00E8198B">
        <w:t xml:space="preserve">índice presentado en este documento. </w:t>
      </w:r>
    </w:p>
    <w:p w:rsidR="00777105" w:rsidRDefault="00E8198B" w:rsidP="006A0A12">
      <w:r>
        <w:t>Como primer paso, los valores de los indicadores fueron normalizados,</w:t>
      </w:r>
      <w:r w:rsidR="00CB7128">
        <w:t xml:space="preserve"> </w:t>
      </w:r>
      <w:r w:rsidR="001517CC">
        <w:t xml:space="preserve">utilizando la fórmula </w:t>
      </w:r>
      <w:r>
        <w:t>propuesta por</w:t>
      </w:r>
      <w:r w:rsidR="001517CC">
        <w:t xml:space="preserve"> Flamand, </w:t>
      </w:r>
      <w:r w:rsidR="001517CC" w:rsidRPr="00687B37">
        <w:rPr>
          <w:i/>
        </w:rPr>
        <w:t>et al</w:t>
      </w:r>
      <w:r w:rsidR="001517CC">
        <w:t xml:space="preserve">, 2005; en la que se </w:t>
      </w:r>
      <w:r w:rsidR="00CB7128">
        <w:t xml:space="preserve">calcula </w:t>
      </w:r>
      <w:r w:rsidR="00777105">
        <w:t>la distancia entre el valor para cada municipio y el del municipio con el valor mínimo del indicador, respecto a la distan</w:t>
      </w:r>
      <w:bookmarkStart w:id="1" w:name="_GoBack"/>
      <w:bookmarkEnd w:id="1"/>
      <w:r w:rsidR="00777105">
        <w:t>cia entre los valores máximo y mínimo de dicho indicador para el conjunto de municipios considerados:</w:t>
      </w:r>
    </w:p>
    <w:p w:rsidR="00777105" w:rsidRPr="004D113C" w:rsidRDefault="00C01027" w:rsidP="00777105">
      <m:oMathPara>
        <m:oMath>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w:rPr>
                      <w:rFonts w:ascii="Cambria Math" w:hAnsi="Cambria Math"/>
                    </w:rPr>
                    <m:t>Xi</m:t>
                  </m:r>
                </m:e>
                <m:sub>
                  <m:r>
                    <w:rPr>
                      <w:rFonts w:ascii="Cambria Math" w:hAnsi="Cambria Math"/>
                    </w:rPr>
                    <m:t>normalizado</m:t>
                  </m:r>
                </m:sub>
              </m:sSub>
              <m:r>
                <w:rPr>
                  <w:rFonts w:ascii="Cambria Math" w:hAnsi="Cambria Math"/>
                </w:rPr>
                <m:t>=</m:t>
              </m:r>
            </m:fName>
            <m:e>
              <m:d>
                <m:dPr>
                  <m:ctrlPr>
                    <w:rPr>
                      <w:rFonts w:ascii="Cambria Math" w:hAnsi="Cambria Math"/>
                      <w:i/>
                    </w:rPr>
                  </m:ctrlPr>
                </m:dPr>
                <m:e>
                  <m:f>
                    <m:fPr>
                      <m:ctrlPr>
                        <w:rPr>
                          <w:rFonts w:ascii="Cambria Math" w:hAnsi="Cambria Math"/>
                          <w:i/>
                        </w:rPr>
                      </m:ctrlPr>
                    </m:fPr>
                    <m:num>
                      <m:r>
                        <w:rPr>
                          <w:rFonts w:ascii="Cambria Math" w:hAnsi="Cambria Math"/>
                        </w:rPr>
                        <m:t>(</m:t>
                      </m:r>
                      <m:r>
                        <m:rPr>
                          <m:sty m:val="p"/>
                        </m:rPr>
                        <w:rPr>
                          <w:rFonts w:ascii="Cambria Math" w:hAnsi="Cambria Math"/>
                        </w:rPr>
                        <m:t>Xi</m:t>
                      </m:r>
                      <m:r>
                        <w:rPr>
                          <w:rFonts w:ascii="Cambria Math" w:hAnsi="Cambria Math"/>
                        </w:rPr>
                        <m:t>-</m:t>
                      </m:r>
                      <m:r>
                        <m:rPr>
                          <m:sty m:val="p"/>
                        </m:rPr>
                        <w:rPr>
                          <w:rFonts w:ascii="Cambria Math" w:hAnsi="Cambria Math"/>
                        </w:rPr>
                        <m:t xml:space="preserve"> Xi</m:t>
                      </m:r>
                      <m:r>
                        <w:rPr>
                          <w:rFonts w:ascii="Cambria Math" w:hAnsi="Cambria Math"/>
                        </w:rPr>
                        <m:t xml:space="preserve"> min)</m:t>
                      </m:r>
                    </m:num>
                    <m:den>
                      <m:r>
                        <w:rPr>
                          <w:rFonts w:ascii="Cambria Math" w:hAnsi="Cambria Math"/>
                        </w:rPr>
                        <m:t>(</m:t>
                      </m:r>
                      <m:r>
                        <m:rPr>
                          <m:sty m:val="p"/>
                        </m:rPr>
                        <w:rPr>
                          <w:rFonts w:ascii="Cambria Math" w:hAnsi="Cambria Math"/>
                        </w:rPr>
                        <m:t xml:space="preserve">Xi </m:t>
                      </m:r>
                      <m:r>
                        <w:rPr>
                          <w:rFonts w:ascii="Cambria Math" w:hAnsi="Cambria Math"/>
                        </w:rPr>
                        <m:t>max</m:t>
                      </m:r>
                      <m:r>
                        <m:rPr>
                          <m:sty m:val="p"/>
                        </m:rPr>
                        <w:rPr>
                          <w:rFonts w:ascii="Cambria Math" w:hAnsi="Cambria Math"/>
                        </w:rPr>
                        <m:t xml:space="preserve"> </m:t>
                      </m:r>
                      <m:r>
                        <w:rPr>
                          <w:rFonts w:ascii="Cambria Math" w:hAnsi="Cambria Math"/>
                        </w:rPr>
                        <m:t>-</m:t>
                      </m:r>
                      <m:r>
                        <m:rPr>
                          <m:sty m:val="p"/>
                        </m:rPr>
                        <w:rPr>
                          <w:rFonts w:ascii="Cambria Math" w:hAnsi="Cambria Math"/>
                        </w:rPr>
                        <m:t xml:space="preserve"> Xi </m:t>
                      </m:r>
                      <m:r>
                        <w:rPr>
                          <w:rFonts w:ascii="Cambria Math" w:hAnsi="Cambria Math"/>
                        </w:rPr>
                        <m:t>min)</m:t>
                      </m:r>
                    </m:den>
                  </m:f>
                </m:e>
              </m:d>
            </m:e>
          </m:func>
        </m:oMath>
      </m:oMathPara>
    </w:p>
    <w:p w:rsidR="00EB5207" w:rsidRDefault="00EB5207" w:rsidP="00CB7128">
      <w:pPr>
        <w:rPr>
          <w:sz w:val="18"/>
        </w:rPr>
      </w:pPr>
    </w:p>
    <w:p w:rsidR="00CB7128" w:rsidRPr="00056E5C" w:rsidRDefault="00CB7128" w:rsidP="00CB7128">
      <w:pPr>
        <w:rPr>
          <w:sz w:val="18"/>
        </w:rPr>
      </w:pPr>
      <w:r w:rsidRPr="00056E5C">
        <w:rPr>
          <w:sz w:val="18"/>
        </w:rPr>
        <w:t>Donde: Xi</w:t>
      </w:r>
      <w:r w:rsidRPr="00056E5C">
        <w:rPr>
          <w:sz w:val="18"/>
          <w:vertAlign w:val="subscript"/>
        </w:rPr>
        <w:t>normalizado</w:t>
      </w:r>
      <w:r w:rsidRPr="00056E5C">
        <w:rPr>
          <w:sz w:val="18"/>
        </w:rPr>
        <w:t xml:space="preserve"> es el valor normalizado del indicador i, rango 0 a 1; Xi es el valor del indicador i; Xi </w:t>
      </w:r>
      <w:r w:rsidRPr="00056E5C">
        <w:rPr>
          <w:i/>
          <w:sz w:val="18"/>
        </w:rPr>
        <w:t xml:space="preserve">max </w:t>
      </w:r>
      <w:r w:rsidRPr="00056E5C">
        <w:rPr>
          <w:sz w:val="18"/>
        </w:rPr>
        <w:t xml:space="preserve">es el valor máximo del indicador y Xi </w:t>
      </w:r>
      <w:r w:rsidRPr="00056E5C">
        <w:rPr>
          <w:i/>
          <w:sz w:val="18"/>
        </w:rPr>
        <w:t xml:space="preserve">min </w:t>
      </w:r>
      <w:r w:rsidRPr="00056E5C">
        <w:rPr>
          <w:sz w:val="18"/>
        </w:rPr>
        <w:t>es el valor mínimo del indicador.</w:t>
      </w:r>
    </w:p>
    <w:p w:rsidR="00CB7128" w:rsidRDefault="00CB7128" w:rsidP="00CB7128">
      <w:r>
        <w:t xml:space="preserve">Para algunos indicadores, por su naturaleza, fue necesario incorporar en la fórmula de normalización una operación de complemento, para lograr homogeneizaran los valores; quedando de la siguiente manera: </w:t>
      </w:r>
    </w:p>
    <w:p w:rsidR="00CB7128" w:rsidRDefault="00C01027" w:rsidP="00CB7128">
      <m:oMathPara>
        <m:oMath>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w:rPr>
                      <w:rFonts w:ascii="Cambria Math" w:hAnsi="Cambria Math"/>
                    </w:rPr>
                    <m:t>Xi</m:t>
                  </m:r>
                </m:e>
                <m:sub>
                  <m:r>
                    <w:rPr>
                      <w:rFonts w:ascii="Cambria Math" w:hAnsi="Cambria Math"/>
                    </w:rPr>
                    <m:t>normalizado</m:t>
                  </m:r>
                </m:sub>
              </m:sSub>
              <m:r>
                <w:rPr>
                  <w:rFonts w:ascii="Cambria Math" w:hAnsi="Cambria Math"/>
                </w:rPr>
                <m:t>=</m:t>
              </m:r>
            </m:fName>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m:t>
                      </m:r>
                      <m:r>
                        <m:rPr>
                          <m:sty m:val="p"/>
                        </m:rPr>
                        <w:rPr>
                          <w:rFonts w:ascii="Cambria Math" w:hAnsi="Cambria Math"/>
                        </w:rPr>
                        <m:t>Xi</m:t>
                      </m:r>
                      <m:r>
                        <w:rPr>
                          <w:rFonts w:ascii="Cambria Math" w:hAnsi="Cambria Math"/>
                        </w:rPr>
                        <m:t>-</m:t>
                      </m:r>
                      <m:r>
                        <m:rPr>
                          <m:sty m:val="p"/>
                        </m:rPr>
                        <w:rPr>
                          <w:rFonts w:ascii="Cambria Math" w:hAnsi="Cambria Math"/>
                        </w:rPr>
                        <m:t xml:space="preserve"> Xi</m:t>
                      </m:r>
                      <m:r>
                        <w:rPr>
                          <w:rFonts w:ascii="Cambria Math" w:hAnsi="Cambria Math"/>
                        </w:rPr>
                        <m:t xml:space="preserve"> min)</m:t>
                      </m:r>
                    </m:num>
                    <m:den>
                      <m:r>
                        <w:rPr>
                          <w:rFonts w:ascii="Cambria Math" w:hAnsi="Cambria Math"/>
                        </w:rPr>
                        <m:t>(</m:t>
                      </m:r>
                      <m:r>
                        <m:rPr>
                          <m:sty m:val="p"/>
                        </m:rPr>
                        <w:rPr>
                          <w:rFonts w:ascii="Cambria Math" w:hAnsi="Cambria Math"/>
                        </w:rPr>
                        <m:t xml:space="preserve">Xi </m:t>
                      </m:r>
                      <m:r>
                        <w:rPr>
                          <w:rFonts w:ascii="Cambria Math" w:hAnsi="Cambria Math"/>
                        </w:rPr>
                        <m:t>max</m:t>
                      </m:r>
                      <m:r>
                        <m:rPr>
                          <m:sty m:val="p"/>
                        </m:rPr>
                        <w:rPr>
                          <w:rFonts w:ascii="Cambria Math" w:hAnsi="Cambria Math"/>
                        </w:rPr>
                        <m:t xml:space="preserve"> </m:t>
                      </m:r>
                      <m:r>
                        <w:rPr>
                          <w:rFonts w:ascii="Cambria Math" w:hAnsi="Cambria Math"/>
                        </w:rPr>
                        <m:t>-</m:t>
                      </m:r>
                      <m:r>
                        <m:rPr>
                          <m:sty m:val="p"/>
                        </m:rPr>
                        <w:rPr>
                          <w:rFonts w:ascii="Cambria Math" w:hAnsi="Cambria Math"/>
                        </w:rPr>
                        <m:t xml:space="preserve"> Xi </m:t>
                      </m:r>
                      <m:r>
                        <w:rPr>
                          <w:rFonts w:ascii="Cambria Math" w:hAnsi="Cambria Math"/>
                        </w:rPr>
                        <m:t>min)</m:t>
                      </m:r>
                    </m:den>
                  </m:f>
                </m:e>
              </m:d>
            </m:e>
          </m:func>
        </m:oMath>
      </m:oMathPara>
    </w:p>
    <w:p w:rsidR="00CB7128" w:rsidRDefault="00CB7128" w:rsidP="00777105"/>
    <w:p w:rsidR="00826447" w:rsidRDefault="000972C8" w:rsidP="000972C8">
      <w:r>
        <w:t xml:space="preserve">De esta manera, los </w:t>
      </w:r>
      <w:r w:rsidR="00826447">
        <w:t>indicadores</w:t>
      </w:r>
      <w:r>
        <w:t xml:space="preserve"> toman valores de cero a uno, su valor aumenta </w:t>
      </w:r>
      <w:r w:rsidR="00826447">
        <w:t xml:space="preserve">a medida que </w:t>
      </w:r>
      <w:r w:rsidR="00826447" w:rsidRPr="00A50E8C">
        <w:t>el desempeño ambiental y de los recursos naturales</w:t>
      </w:r>
      <w:r w:rsidR="00826447">
        <w:t xml:space="preserve"> es mayor</w:t>
      </w:r>
      <w:r w:rsidR="001517CC">
        <w:t xml:space="preserve"> (Flamand, </w:t>
      </w:r>
      <w:r w:rsidR="001517CC" w:rsidRPr="00687B37">
        <w:rPr>
          <w:i/>
        </w:rPr>
        <w:t>et al</w:t>
      </w:r>
      <w:r w:rsidR="001517CC">
        <w:t>, 2005)</w:t>
      </w:r>
      <w:r>
        <w:t xml:space="preserve">. </w:t>
      </w:r>
    </w:p>
    <w:p w:rsidR="006A0A12" w:rsidRDefault="00E8198B" w:rsidP="00E8198B">
      <w:r>
        <w:t>El siguiente paso es calcular los subíndices por grupo (presión, estado y respuesta) promediando los indicadores normalizados:</w:t>
      </w:r>
    </w:p>
    <w:p w:rsidR="00E8198B" w:rsidRDefault="00C01027" w:rsidP="00E8198B">
      <m:oMathPara>
        <m:oMath>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w:rPr>
                      <w:rFonts w:ascii="Cambria Math" w:hAnsi="Cambria Math"/>
                    </w:rPr>
                    <m:t>Subíndice</m:t>
                  </m:r>
                </m:e>
                <m:sub>
                  <m:r>
                    <w:rPr>
                      <w:rFonts w:ascii="Cambria Math" w:hAnsi="Cambria Math"/>
                    </w:rPr>
                    <m:t>grupo</m:t>
                  </m:r>
                </m:sub>
              </m:sSub>
              <m:r>
                <w:rPr>
                  <w:rFonts w:ascii="Cambria Math" w:hAnsi="Cambria Math"/>
                </w:rPr>
                <m:t>=</m:t>
              </m:r>
            </m:fName>
            <m:e>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Indicadores</m:t>
                              </m:r>
                            </m:e>
                            <m:sub>
                              <m:r>
                                <w:rPr>
                                  <w:rFonts w:ascii="Cambria Math" w:hAnsi="Cambria Math"/>
                                </w:rPr>
                                <m:t>grupo</m:t>
                              </m:r>
                            </m:sub>
                          </m:sSub>
                        </m:e>
                      </m:nary>
                    </m:num>
                    <m:den>
                      <m:sSub>
                        <m:sSubPr>
                          <m:ctrlPr>
                            <w:rPr>
                              <w:rFonts w:ascii="Cambria Math" w:hAnsi="Cambria Math"/>
                              <w:i/>
                            </w:rPr>
                          </m:ctrlPr>
                        </m:sSubPr>
                        <m:e>
                          <m:r>
                            <m:rPr>
                              <m:sty m:val="p"/>
                            </m:rPr>
                            <w:rPr>
                              <w:rFonts w:ascii="Cambria Math" w:hAnsi="Cambria Math"/>
                            </w:rPr>
                            <m:t>Total de indicadores</m:t>
                          </m:r>
                        </m:e>
                        <m:sub>
                          <m:r>
                            <w:rPr>
                              <w:rFonts w:ascii="Cambria Math" w:hAnsi="Cambria Math"/>
                            </w:rPr>
                            <m:t>grupo</m:t>
                          </m:r>
                        </m:sub>
                      </m:sSub>
                    </m:den>
                  </m:f>
                </m:e>
              </m:d>
            </m:e>
          </m:func>
        </m:oMath>
      </m:oMathPara>
    </w:p>
    <w:p w:rsidR="00EB5207" w:rsidRDefault="00EB5207" w:rsidP="00EB5207">
      <w:pPr>
        <w:rPr>
          <w:sz w:val="18"/>
        </w:rPr>
      </w:pPr>
    </w:p>
    <w:p w:rsidR="00EB5207" w:rsidRPr="00056E5C" w:rsidRDefault="00EB5207" w:rsidP="00EB5207">
      <w:pPr>
        <w:rPr>
          <w:sz w:val="18"/>
        </w:rPr>
      </w:pPr>
      <w:r w:rsidRPr="00056E5C">
        <w:rPr>
          <w:sz w:val="18"/>
        </w:rPr>
        <w:t>Donde:</w:t>
      </w:r>
      <w:r>
        <w:rPr>
          <w:sz w:val="18"/>
        </w:rPr>
        <w:t xml:space="preserve"> grupo se refiere a Presión, Estado y Respuesta.</w:t>
      </w:r>
    </w:p>
    <w:p w:rsidR="000972C8" w:rsidRDefault="000972C8" w:rsidP="000972C8">
      <w:r>
        <w:t>Finalmente, se</w:t>
      </w:r>
      <w:r w:rsidR="00B552D9">
        <w:t xml:space="preserve"> calculó</w:t>
      </w:r>
      <w:r>
        <w:t xml:space="preserve"> el Índice Municipal </w:t>
      </w:r>
      <w:r w:rsidR="00EB5207">
        <w:t xml:space="preserve">de Medio Ambiente </w:t>
      </w:r>
      <w:r>
        <w:t xml:space="preserve">promediando los </w:t>
      </w:r>
      <w:r w:rsidR="00EB5207">
        <w:t>subíndices</w:t>
      </w:r>
      <w:r>
        <w:t xml:space="preserve"> </w:t>
      </w:r>
      <w:r w:rsidR="00EB5207">
        <w:t>de los tres grupos:</w:t>
      </w:r>
    </w:p>
    <w:p w:rsidR="000972C8" w:rsidRPr="00EB5207" w:rsidRDefault="00C01027" w:rsidP="000972C8">
      <m:oMathPara>
        <m:oMath>
          <m:func>
            <m:funcPr>
              <m:ctrlPr>
                <w:rPr>
                  <w:rFonts w:ascii="Cambria Math" w:hAnsi="Cambria Math"/>
                  <w:i/>
                </w:rPr>
              </m:ctrlPr>
            </m:funcPr>
            <m:fName>
              <m:r>
                <w:rPr>
                  <w:rFonts w:ascii="Cambria Math" w:hAnsi="Cambria Math"/>
                </w:rPr>
                <m:t xml:space="preserve"> Índice Municipal de Medio Ambiente=</m:t>
              </m:r>
            </m:fName>
            <m:e>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Subíndice</m:t>
                              </m:r>
                            </m:e>
                            <m:sub>
                              <m:r>
                                <w:rPr>
                                  <w:rFonts w:ascii="Cambria Math" w:hAnsi="Cambria Math"/>
                                </w:rPr>
                                <m:t>grupo</m:t>
                              </m:r>
                            </m:sub>
                          </m:sSub>
                        </m:e>
                      </m:nary>
                    </m:num>
                    <m:den>
                      <m:r>
                        <m:rPr>
                          <m:sty m:val="p"/>
                        </m:rPr>
                        <w:rPr>
                          <w:rFonts w:ascii="Cambria Math" w:hAnsi="Cambria Math"/>
                        </w:rPr>
                        <m:t>3</m:t>
                      </m:r>
                    </m:den>
                  </m:f>
                </m:e>
              </m:d>
            </m:e>
          </m:func>
        </m:oMath>
      </m:oMathPara>
    </w:p>
    <w:p w:rsidR="000972C8" w:rsidRDefault="000972C8" w:rsidP="00AE203C"/>
    <w:p w:rsidR="00BB2D1F" w:rsidRDefault="00281E05" w:rsidP="00F06693">
      <w:pPr>
        <w:rPr>
          <w:b/>
        </w:rPr>
      </w:pPr>
      <w:r>
        <w:rPr>
          <w:b/>
        </w:rPr>
        <w:t>Elaboración de mapas temáticos para</w:t>
      </w:r>
      <w:r w:rsidR="00BB2D1F">
        <w:rPr>
          <w:b/>
        </w:rPr>
        <w:t xml:space="preserve"> los indicadores y los índices</w:t>
      </w:r>
    </w:p>
    <w:p w:rsidR="00E606C8" w:rsidRDefault="004A145C" w:rsidP="00F06693">
      <w:r>
        <w:t xml:space="preserve">Se elaboraron mapas temáticos de cada indicador, subíndices e índices para presentar </w:t>
      </w:r>
      <w:r w:rsidR="00E606C8">
        <w:t xml:space="preserve">los valores, de una manera gráfica que pueda ser interpretada por los usuarios. </w:t>
      </w:r>
    </w:p>
    <w:p w:rsidR="00281E05" w:rsidRDefault="00E606C8" w:rsidP="00F06693">
      <w:r>
        <w:t xml:space="preserve">Para su elaboración, </w:t>
      </w:r>
      <w:r w:rsidR="00281E05">
        <w:t>se utilizaron los softwar</w:t>
      </w:r>
      <w:r w:rsidR="007E0AC6">
        <w:t>e</w:t>
      </w:r>
      <w:r w:rsidR="00281E05">
        <w:t xml:space="preserve"> Kosmo 2.0 y Quantum GIS 1.5.</w:t>
      </w:r>
      <w:r>
        <w:t xml:space="preserve">0, utilizando como base la capa vectorial de polígonos correspondiente a los </w:t>
      </w:r>
      <w:r w:rsidR="00281E05">
        <w:t>Límites municipales del Estado de Jalisco 2008 (publicado en el periódico Oficial El Estado de Jalisco el 7 de febrero de 2009)</w:t>
      </w:r>
      <w:r>
        <w:t xml:space="preserve">. </w:t>
      </w:r>
    </w:p>
    <w:p w:rsidR="00E54CE3" w:rsidRDefault="00994C20" w:rsidP="00F06693">
      <w:r>
        <w:t>Se utilizó la herramienta “join” mediante la cual se asignaron los valores de los indicadores a la capa de límites municipales. El resultado fue un</w:t>
      </w:r>
      <w:r w:rsidR="00E54CE3">
        <w:t xml:space="preserve">a nueva capa </w:t>
      </w:r>
      <w:r w:rsidR="00FB0C45">
        <w:t xml:space="preserve">de polígonos </w:t>
      </w:r>
      <w:r w:rsidR="00E54CE3">
        <w:t xml:space="preserve">que contenía el valor del indicador para cada municipio. </w:t>
      </w:r>
    </w:p>
    <w:p w:rsidR="00BB2D1F" w:rsidRDefault="00E54CE3" w:rsidP="00F06693">
      <w:r>
        <w:t xml:space="preserve">Para su presentación, se clasificaron los valores en 4 clases con intervalos iguales asignándoles valores de Bajo, Medio, Alto y Muy alto. </w:t>
      </w:r>
    </w:p>
    <w:p w:rsidR="002A6301" w:rsidRDefault="002A6301" w:rsidP="00F06693">
      <w:pPr>
        <w:rPr>
          <w:b/>
          <w:smallCaps/>
          <w:sz w:val="24"/>
        </w:rPr>
      </w:pPr>
    </w:p>
    <w:p w:rsidR="00DB64C0" w:rsidRPr="002A6301" w:rsidRDefault="000972C8" w:rsidP="00F06693">
      <w:pPr>
        <w:rPr>
          <w:b/>
          <w:smallCaps/>
          <w:sz w:val="24"/>
        </w:rPr>
      </w:pPr>
      <w:r w:rsidRPr="002A6301">
        <w:rPr>
          <w:b/>
          <w:smallCaps/>
          <w:sz w:val="24"/>
        </w:rPr>
        <w:t>Resultados</w:t>
      </w:r>
    </w:p>
    <w:p w:rsidR="002A6301" w:rsidRDefault="002A6301" w:rsidP="000972C8"/>
    <w:p w:rsidR="00B67BC0" w:rsidRDefault="00B67BC0" w:rsidP="000972C8">
      <w:r>
        <w:t xml:space="preserve">Los resultados tabulados </w:t>
      </w:r>
      <w:r w:rsidR="00236D1E">
        <w:t>se presentaron</w:t>
      </w:r>
      <w:r>
        <w:t xml:space="preserve"> en una tabla de Excel</w:t>
      </w:r>
      <w:r w:rsidR="000B54EC">
        <w:t xml:space="preserve"> (Anexo1)</w:t>
      </w:r>
      <w:r>
        <w:t>, en donde las filas corresponden a los municipios y las columnas a los indicadores, incluyendo el valor original del indicador y el valor normalizado. De esta tabla se hicieron las agrupaciones por presión, estado y respuesta</w:t>
      </w:r>
      <w:r w:rsidR="00236D1E">
        <w:t>,</w:t>
      </w:r>
      <w:r>
        <w:t xml:space="preserve"> para obtener los subíndices y posteriormente obtener el IMMA.</w:t>
      </w:r>
    </w:p>
    <w:p w:rsidR="000B54EC" w:rsidRDefault="00BC2A5C" w:rsidP="000972C8">
      <w:r>
        <w:t>Los resultados de los mapas temáticos para cada índice y cada indicador se presentan a continuación.</w:t>
      </w:r>
    </w:p>
    <w:p w:rsidR="00554DC0" w:rsidRDefault="00554DC0" w:rsidP="00EB103A">
      <w:pPr>
        <w:rPr>
          <w:b/>
          <w:bCs/>
          <w:iCs/>
          <w:u w:val="single"/>
        </w:rPr>
      </w:pPr>
    </w:p>
    <w:p w:rsidR="00C66F6E" w:rsidRPr="00C66F6E" w:rsidRDefault="00554DC0" w:rsidP="00EB103A">
      <w:pPr>
        <w:rPr>
          <w:b/>
          <w:bCs/>
          <w:iCs/>
          <w:u w:val="single"/>
        </w:rPr>
      </w:pPr>
      <w:r>
        <w:rPr>
          <w:b/>
          <w:bCs/>
          <w:iCs/>
          <w:u w:val="single"/>
        </w:rPr>
        <w:t xml:space="preserve">Tema </w:t>
      </w:r>
      <w:r w:rsidR="00C66F6E">
        <w:rPr>
          <w:b/>
          <w:bCs/>
          <w:iCs/>
          <w:u w:val="single"/>
        </w:rPr>
        <w:t>Agua</w:t>
      </w:r>
    </w:p>
    <w:p w:rsidR="00B92CEF" w:rsidRDefault="00B92CEF" w:rsidP="00EB103A">
      <w:r>
        <w:rPr>
          <w:b/>
          <w:bCs/>
          <w:i/>
          <w:iCs/>
        </w:rPr>
        <w:t>Indicador Estado de los Acuíferos.</w:t>
      </w:r>
    </w:p>
    <w:p w:rsidR="00B92CEF" w:rsidRDefault="00B92CEF" w:rsidP="00906404">
      <w:r>
        <w:t>Este indicador corresponde al estado de los acuíferos, el resultado se obtuvo calculando  la razón que existe entre la superficie de aquellos acuíferos identificados como sobreexplotados y la superficie municipal</w:t>
      </w:r>
    </w:p>
    <w:p w:rsidR="006F06C5" w:rsidRDefault="006F06C5" w:rsidP="00906404"/>
    <w:p w:rsidR="00554DC0" w:rsidRPr="00D84BA3" w:rsidRDefault="00C01027" w:rsidP="00906404">
      <m:oMathPara>
        <m:oMath>
          <m:func>
            <m:funcPr>
              <m:ctrlPr>
                <w:rPr>
                  <w:rFonts w:ascii="Cambria Math" w:hAnsi="Cambria Math"/>
                  <w:i/>
                  <w:sz w:val="20"/>
                </w:rPr>
              </m:ctrlPr>
            </m:funcPr>
            <m:fName>
              <m:r>
                <w:rPr>
                  <w:rFonts w:ascii="Cambria Math" w:hAnsi="Cambria Math"/>
                  <w:sz w:val="20"/>
                </w:rPr>
                <m:t>Estado de los acuíferos</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acuíferos sobreexplotados</m:t>
                  </m:r>
                </m:num>
                <m:den>
                  <m:r>
                    <m:rPr>
                      <m:sty m:val="p"/>
                    </m:rPr>
                    <w:rPr>
                      <w:rFonts w:ascii="Cambria Math" w:hAnsi="Cambria Math"/>
                      <w:sz w:val="20"/>
                    </w:rPr>
                    <m:t>Superficie del municipio</m:t>
                  </m:r>
                </m:den>
              </m:f>
            </m:e>
          </m:func>
        </m:oMath>
      </m:oMathPara>
    </w:p>
    <w:p w:rsidR="006F06C5" w:rsidRDefault="006F06C5" w:rsidP="00A71CE8"/>
    <w:p w:rsidR="00B92CEF" w:rsidRDefault="00B92CEF" w:rsidP="00A71CE8">
      <w:r>
        <w:t xml:space="preserve">Al valor obtenido </w:t>
      </w:r>
      <w:r w:rsidR="00D84BA3">
        <w:t>se le aplicó la fórmula de normalización, modificada con la operación de complemento, debido a que es un indicador en sentido negativo</w:t>
      </w:r>
    </w:p>
    <w:p w:rsidR="00D84BA3" w:rsidRDefault="00D84BA3" w:rsidP="00A71CE8"/>
    <w:p w:rsidR="00554DC0" w:rsidRDefault="00C01027" w:rsidP="00A71CE8">
      <m:oMathPara>
        <m:oMath>
          <m:func>
            <m:funcPr>
              <m:ctrlPr>
                <w:rPr>
                  <w:rFonts w:ascii="Cambria Math" w:hAnsi="Cambria Math"/>
                  <w:i/>
                  <w:sz w:val="20"/>
                </w:rPr>
              </m:ctrlPr>
            </m:funcPr>
            <m:fName>
              <m:r>
                <m:rPr>
                  <m:nor/>
                </m:rPr>
                <w:rPr>
                  <w:rFonts w:ascii="Cambria Math" w:hAnsi="Cambria Math"/>
                  <w:sz w:val="20"/>
                </w:rPr>
                <m:t xml:space="preserve"> </m:t>
              </m:r>
              <m:sSub>
                <m:sSubPr>
                  <m:ctrlPr>
                    <w:rPr>
                      <w:rFonts w:ascii="Cambria Math" w:hAnsi="Cambria Math"/>
                      <w:i/>
                      <w:sz w:val="20"/>
                    </w:rPr>
                  </m:ctrlPr>
                </m:sSubPr>
                <m:e>
                  <m:r>
                    <m:rPr>
                      <m:nor/>
                    </m:rPr>
                    <w:rPr>
                      <w:rFonts w:ascii="Cambria Math" w:hAnsi="Cambria Math"/>
                      <w:sz w:val="20"/>
                    </w:rPr>
                    <m:t>Estado de los acuíferos</m:t>
                  </m:r>
                </m:e>
                <m:sub>
                  <m:r>
                    <m:rPr>
                      <m:nor/>
                    </m:rPr>
                    <w:rPr>
                      <w:rFonts w:ascii="Cambria Math" w:hAnsi="Cambria Math"/>
                      <w:i/>
                      <w:sz w:val="20"/>
                    </w:rPr>
                    <m:t>normalizado</m:t>
                  </m:r>
                </m:sub>
              </m:sSub>
              <m:r>
                <m:rPr>
                  <m:nor/>
                </m:rPr>
                <w:rPr>
                  <w:rFonts w:ascii="Cambria Math" w:hAnsi="Cambria Math"/>
                  <w:sz w:val="20"/>
                </w:rPr>
                <m:t>=</m:t>
              </m:r>
            </m:fName>
            <m:e>
              <m:r>
                <m:rPr>
                  <m:nor/>
                </m:rPr>
                <w:rPr>
                  <w:rFonts w:ascii="Cambria Math" w:hAnsi="Cambria Math"/>
                  <w:sz w:val="20"/>
                </w:rPr>
                <m:t>1-</m:t>
              </m:r>
              <m:d>
                <m:dPr>
                  <m:ctrlPr>
                    <w:rPr>
                      <w:rFonts w:ascii="Cambria Math" w:hAnsi="Cambria Math"/>
                      <w:i/>
                      <w:sz w:val="20"/>
                    </w:rPr>
                  </m:ctrlPr>
                </m:dPr>
                <m:e>
                  <m:f>
                    <m:fPr>
                      <m:ctrlPr>
                        <w:rPr>
                          <w:rFonts w:ascii="Cambria Math" w:hAnsi="Cambria Math"/>
                          <w:i/>
                          <w:sz w:val="20"/>
                        </w:rPr>
                      </m:ctrlPr>
                    </m:fPr>
                    <m:num>
                      <m:r>
                        <m:rPr>
                          <m:nor/>
                        </m:rPr>
                        <w:rPr>
                          <w:rFonts w:ascii="Cambria Math" w:hAnsi="Cambria Math"/>
                          <w:sz w:val="20"/>
                        </w:rPr>
                        <m:t xml:space="preserve">(Estado de los acuíferos- Estado de los acuíferos </m:t>
                      </m:r>
                      <m:r>
                        <m:rPr>
                          <m:nor/>
                        </m:rPr>
                        <w:rPr>
                          <w:rFonts w:ascii="Cambria Math" w:hAnsi="Cambria Math"/>
                          <w:i/>
                          <w:sz w:val="20"/>
                        </w:rPr>
                        <m:t>min</m:t>
                      </m:r>
                      <m:r>
                        <m:rPr>
                          <m:nor/>
                        </m:rPr>
                        <w:rPr>
                          <w:rFonts w:ascii="Cambria Math" w:hAnsi="Cambria Math"/>
                          <w:sz w:val="20"/>
                        </w:rPr>
                        <m:t>)</m:t>
                      </m:r>
                    </m:num>
                    <m:den>
                      <m:r>
                        <m:rPr>
                          <m:nor/>
                        </m:rPr>
                        <w:rPr>
                          <w:rFonts w:ascii="Cambria Math" w:hAnsi="Cambria Math"/>
                          <w:sz w:val="20"/>
                        </w:rPr>
                        <m:t xml:space="preserve">(Estado de los acuíferos </m:t>
                      </m:r>
                      <m:r>
                        <w:rPr>
                          <w:rFonts w:ascii="Cambria Math" w:hAnsi="Cambria Math"/>
                          <w:sz w:val="20"/>
                        </w:rPr>
                        <m:t>max</m:t>
                      </m:r>
                      <m:r>
                        <m:rPr>
                          <m:nor/>
                        </m:rPr>
                        <w:rPr>
                          <w:rFonts w:ascii="Cambria Math" w:hAnsi="Cambria Math"/>
                          <w:sz w:val="20"/>
                        </w:rPr>
                        <m:t xml:space="preserve">- Estado de los acuíferos </m:t>
                      </m:r>
                      <m:r>
                        <m:rPr>
                          <m:nor/>
                        </m:rPr>
                        <w:rPr>
                          <w:rFonts w:ascii="Cambria Math" w:hAnsi="Cambria Math"/>
                          <w:i/>
                          <w:sz w:val="20"/>
                        </w:rPr>
                        <m:t>min</m:t>
                      </m:r>
                      <m:r>
                        <m:rPr>
                          <m:nor/>
                        </m:rPr>
                        <w:rPr>
                          <w:rFonts w:ascii="Cambria Math" w:hAnsi="Cambria Math"/>
                          <w:sz w:val="20"/>
                        </w:rPr>
                        <m:t>)</m:t>
                      </m:r>
                    </m:den>
                  </m:f>
                </m:e>
              </m:d>
            </m:e>
          </m:func>
        </m:oMath>
      </m:oMathPara>
    </w:p>
    <w:p w:rsidR="00D84BA3" w:rsidRDefault="00D84BA3" w:rsidP="00906404"/>
    <w:p w:rsidR="00B92CEF" w:rsidRDefault="00B92CEF" w:rsidP="00906404">
      <w:r>
        <w:lastRenderedPageBreak/>
        <w:t>Los datos utilizados para su elaboración, fueron: Condición de los acuíferos (sobreexplotado y no sobreexplotado) obtenidos de la CONAGUA (agosto 2010)</w:t>
      </w:r>
      <w:r w:rsidR="00076DE6">
        <w:rPr>
          <w:rStyle w:val="Refdenotaalpie"/>
        </w:rPr>
        <w:footnoteReference w:id="1"/>
      </w:r>
      <w:r>
        <w:t xml:space="preserve">; y Límites municipales del Estado de Jalisco 2008 (publicado en el periódico Oficial El Estado de Jalisco el 7 de febrero de 2009). </w:t>
      </w:r>
    </w:p>
    <w:p w:rsidR="00B92CEF" w:rsidRDefault="00B92CEF" w:rsidP="00906404">
      <w:r>
        <w:t>Los resultados del indicador se plasmaron gráficamente en el mapa que se muestra en la</w:t>
      </w:r>
      <w:r w:rsidR="00D84BA3">
        <w:t xml:space="preserve"> </w:t>
      </w:r>
      <w:r w:rsidR="00D84BA3">
        <w:fldChar w:fldCharType="begin"/>
      </w:r>
      <w:r w:rsidR="00D84BA3">
        <w:instrText xml:space="preserve"> REF _Ref310597630 \h </w:instrText>
      </w:r>
      <w:r w:rsidR="00D84BA3">
        <w:fldChar w:fldCharType="separate"/>
      </w:r>
      <w:r w:rsidR="00D84BA3">
        <w:t xml:space="preserve">Figura </w:t>
      </w:r>
      <w:r w:rsidR="00D84BA3">
        <w:rPr>
          <w:noProof/>
        </w:rPr>
        <w:t>1</w:t>
      </w:r>
      <w:r w:rsidR="00D84BA3">
        <w:fldChar w:fldCharType="end"/>
      </w:r>
      <w:r>
        <w:t>; en el cual se puede observar que los municipios que presentan mayor superficie con acuíferos sobreexplotados están localizados en la región Altos Norte y en la región Ciénega.</w:t>
      </w:r>
      <w:r w:rsidR="00017DD4">
        <w:t xml:space="preserve"> </w:t>
      </w:r>
    </w:p>
    <w:p w:rsidR="00B92CEF" w:rsidRDefault="00B92CEF" w:rsidP="00906404"/>
    <w:p w:rsidR="00D84BA3" w:rsidRDefault="00BF1BD1" w:rsidP="00D84BA3">
      <w:pPr>
        <w:keepNext/>
        <w:jc w:val="center"/>
      </w:pPr>
      <w:r>
        <w:rPr>
          <w:noProof/>
          <w:lang w:eastAsia="es-MX"/>
        </w:rPr>
        <w:drawing>
          <wp:inline distT="0" distB="0" distL="0" distR="0" wp14:anchorId="0DD82911" wp14:editId="38AC1FDB">
            <wp:extent cx="5276850" cy="3952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5646" r="4117" b="8646"/>
                    <a:stretch>
                      <a:fillRect/>
                    </a:stretch>
                  </pic:blipFill>
                  <pic:spPr bwMode="auto">
                    <a:xfrm>
                      <a:off x="0" y="0"/>
                      <a:ext cx="5276850" cy="3952875"/>
                    </a:xfrm>
                    <a:prstGeom prst="rect">
                      <a:avLst/>
                    </a:prstGeom>
                    <a:noFill/>
                    <a:ln>
                      <a:noFill/>
                    </a:ln>
                  </pic:spPr>
                </pic:pic>
              </a:graphicData>
            </a:graphic>
          </wp:inline>
        </w:drawing>
      </w:r>
    </w:p>
    <w:p w:rsidR="00B92CEF" w:rsidRDefault="00D84BA3" w:rsidP="00D84BA3">
      <w:pPr>
        <w:pStyle w:val="Epgrafe"/>
      </w:pPr>
      <w:bookmarkStart w:id="2" w:name="_Ref310597630"/>
      <w:r>
        <w:t xml:space="preserve">Figura </w:t>
      </w:r>
      <w:fldSimple w:instr=" SEQ Figura \* ARABIC ">
        <w:r w:rsidR="00E174C8">
          <w:rPr>
            <w:noProof/>
          </w:rPr>
          <w:t>1</w:t>
        </w:r>
      </w:fldSimple>
      <w:bookmarkEnd w:id="2"/>
      <w:r>
        <w:t xml:space="preserve">. </w:t>
      </w:r>
      <w:r w:rsidRPr="00A64759">
        <w:t>Mapa del Indicador del Estado de los Acuíferos</w:t>
      </w:r>
    </w:p>
    <w:p w:rsidR="00D84BA3" w:rsidRDefault="00D84BA3" w:rsidP="00D84BA3">
      <w:r>
        <w:t>Para la representación gráfica de este indicador, la escala de clasificación utilizada se encuentra a la inversa, debido a que es un indicador en sentido negativo, ya que hace referencia a la sobreexplotación de los acuíferos, por lo tanto los municipios en color rojo son los que presentan mayor superficie sobreexplotada y los que están en color verde son los que presentan menor superficie sobreexplotada.</w:t>
      </w:r>
    </w:p>
    <w:p w:rsidR="00E243C4" w:rsidRDefault="00E243C4" w:rsidP="00E243C4">
      <w:r>
        <w:rPr>
          <w:b/>
          <w:bCs/>
          <w:i/>
          <w:iCs/>
        </w:rPr>
        <w:t>Indicador Cobertura de Abastecimiento de Agua.</w:t>
      </w:r>
    </w:p>
    <w:p w:rsidR="00E243C4" w:rsidRDefault="00E243C4" w:rsidP="00930682">
      <w:r>
        <w:t xml:space="preserve">Este indicador se refiere </w:t>
      </w:r>
      <w:r w:rsidR="00930682">
        <w:t xml:space="preserve">a la cobertura de agua entubada por municipio. </w:t>
      </w:r>
      <w:r>
        <w:t>Para obtener el valor del indicador, se calculó la razón que existe entre</w:t>
      </w:r>
      <w:r w:rsidR="00930682">
        <w:t xml:space="preserve"> la suma de las viviendas con servicio de agua de la red pública (ya sea dentro de la vivienda, fuera de la vivienda pero dentro del terreno, se una llave pública o hidrante, de otra vivienda) y el total de las viviendas particulares habitadas</w:t>
      </w:r>
    </w:p>
    <w:p w:rsidR="006F06C5" w:rsidRDefault="006F06C5" w:rsidP="00930682"/>
    <w:p w:rsidR="00D84BA3" w:rsidRDefault="00C01027" w:rsidP="00930682">
      <m:oMathPara>
        <m:oMath>
          <m:func>
            <m:funcPr>
              <m:ctrlPr>
                <w:rPr>
                  <w:rFonts w:ascii="Cambria Math" w:hAnsi="Cambria Math"/>
                  <w:i/>
                  <w:sz w:val="20"/>
                </w:rPr>
              </m:ctrlPr>
            </m:funcPr>
            <m:fName>
              <m:r>
                <w:rPr>
                  <w:rFonts w:ascii="Cambria Math" w:hAnsi="Cambria Math"/>
                  <w:sz w:val="20"/>
                </w:rPr>
                <m:t>Cobertura de abastecimiento de agua</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Viviendas con servicio de agua</m:t>
                  </m:r>
                </m:num>
                <m:den>
                  <m:r>
                    <m:rPr>
                      <m:sty m:val="p"/>
                    </m:rPr>
                    <w:rPr>
                      <w:rFonts w:ascii="Cambria Math" w:hAnsi="Cambria Math"/>
                      <w:sz w:val="20"/>
                    </w:rPr>
                    <m:t>Viviendas particulares habitadas</m:t>
                  </m:r>
                </m:den>
              </m:f>
            </m:e>
          </m:func>
        </m:oMath>
      </m:oMathPara>
    </w:p>
    <w:p w:rsidR="006F06C5" w:rsidRDefault="006F06C5" w:rsidP="00E243C4"/>
    <w:p w:rsidR="00E243C4" w:rsidRDefault="00E243C4" w:rsidP="00E243C4">
      <w:r>
        <w:t xml:space="preserve">Al valor obtenido </w:t>
      </w:r>
      <w:r w:rsidR="006F06C5">
        <w:t>se le aplicó</w:t>
      </w:r>
      <w:r>
        <w:t xml:space="preserve"> </w:t>
      </w:r>
      <w:r w:rsidR="006F06C5">
        <w:t xml:space="preserve">la fórmula de </w:t>
      </w:r>
      <w:r>
        <w:t>normalización</w:t>
      </w:r>
    </w:p>
    <w:p w:rsidR="006F06C5" w:rsidRDefault="006F06C5" w:rsidP="00E243C4"/>
    <w:p w:rsidR="006F06C5" w:rsidRDefault="00C01027" w:rsidP="00E243C4">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Cob. abastecimiento de agua</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Cob. de abastecimiento de agua</m:t>
                      </m:r>
                      <m:r>
                        <w:rPr>
                          <w:rFonts w:ascii="Cambria Math" w:hAnsi="Cambria Math"/>
                          <w:sz w:val="20"/>
                        </w:rPr>
                        <m:t>-</m:t>
                      </m:r>
                      <m:r>
                        <m:rPr>
                          <m:sty m:val="p"/>
                        </m:rPr>
                        <w:rPr>
                          <w:rFonts w:ascii="Cambria Math" w:hAnsi="Cambria Math"/>
                          <w:sz w:val="20"/>
                        </w:rPr>
                        <m:t xml:space="preserve"> Cob. de abastecimiento de agua</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Cob. de abastecimiento de agua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Cob. de abastecimiento de agua </m:t>
                      </m:r>
                      <m:r>
                        <w:rPr>
                          <w:rFonts w:ascii="Cambria Math" w:hAnsi="Cambria Math"/>
                          <w:sz w:val="20"/>
                        </w:rPr>
                        <m:t>min)</m:t>
                      </m:r>
                    </m:den>
                  </m:f>
                </m:e>
              </m:d>
            </m:e>
          </m:func>
        </m:oMath>
      </m:oMathPara>
    </w:p>
    <w:p w:rsidR="006F06C5" w:rsidRDefault="006F06C5" w:rsidP="00651AD1"/>
    <w:p w:rsidR="00E243C4" w:rsidRDefault="00E243C4" w:rsidP="00651AD1">
      <w:r w:rsidRPr="00C8708C">
        <w:t>Para la elaboraci</w:t>
      </w:r>
      <w:r>
        <w:t>ón de este indicad</w:t>
      </w:r>
      <w:r w:rsidR="00930682">
        <w:t>or se utilizaron los valores fueron tomados de la base del Segundo Conteo de Población y Vivienda INEGI 2005; y fue elaborado por la Dirección de Sistemas de Información del Agua</w:t>
      </w:r>
      <w:r w:rsidR="00651AD1">
        <w:t>, de la Comisión Estatal del Agua del Estado de Jalisco (CEA).</w:t>
      </w:r>
      <w:r>
        <w:t xml:space="preserve"> </w:t>
      </w:r>
    </w:p>
    <w:p w:rsidR="00507D8C" w:rsidRDefault="00E243C4" w:rsidP="00507D8C">
      <w:r>
        <w:t>Los resultados del indicador se plasmaron gráficamente en el mapa que se muestra en la</w:t>
      </w:r>
      <w:r w:rsidR="005F500F">
        <w:t xml:space="preserve"> </w:t>
      </w:r>
      <w:r w:rsidR="005F500F">
        <w:fldChar w:fldCharType="begin"/>
      </w:r>
      <w:r w:rsidR="005F500F">
        <w:instrText xml:space="preserve"> REF _Ref310598534 \h </w:instrText>
      </w:r>
      <w:r w:rsidR="005F500F">
        <w:fldChar w:fldCharType="separate"/>
      </w:r>
      <w:r w:rsidR="005F500F" w:rsidRPr="00A0142A">
        <w:t xml:space="preserve">Figura </w:t>
      </w:r>
      <w:r w:rsidR="005F500F">
        <w:rPr>
          <w:noProof/>
        </w:rPr>
        <w:t>2</w:t>
      </w:r>
      <w:r w:rsidR="005F500F">
        <w:fldChar w:fldCharType="end"/>
      </w:r>
      <w:r>
        <w:t xml:space="preserve">; en el cual se puede observar que los municipios que presentan </w:t>
      </w:r>
      <w:r w:rsidR="00651AD1">
        <w:t>menor cobertura de abastecimiento están localizados en la Región</w:t>
      </w:r>
      <w:r w:rsidR="0081690E">
        <w:t xml:space="preserve"> Norte</w:t>
      </w:r>
      <w:r w:rsidR="00651AD1">
        <w:t>.</w:t>
      </w:r>
    </w:p>
    <w:p w:rsidR="00E243C4" w:rsidRDefault="00BF1BD1" w:rsidP="00507D8C">
      <w:pPr>
        <w:jc w:val="center"/>
      </w:pPr>
      <w:r>
        <w:rPr>
          <w:noProof/>
          <w:lang w:eastAsia="es-MX"/>
        </w:rPr>
        <w:drawing>
          <wp:inline distT="0" distB="0" distL="0" distR="0" wp14:anchorId="3E4EF49E" wp14:editId="760B25FD">
            <wp:extent cx="5495925" cy="4210050"/>
            <wp:effectExtent l="0" t="0" r="0" b="0"/>
            <wp:docPr id="3" name="Imagen 3" descr="abaste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stecimiento"/>
                    <pic:cNvPicPr>
                      <a:picLocks noChangeAspect="1" noChangeArrowheads="1"/>
                    </pic:cNvPicPr>
                  </pic:nvPicPr>
                  <pic:blipFill>
                    <a:blip r:embed="rId10" cstate="print">
                      <a:extLst>
                        <a:ext uri="{28A0092B-C50C-407E-A947-70E740481C1C}">
                          <a14:useLocalDpi xmlns:a14="http://schemas.microsoft.com/office/drawing/2010/main" val="0"/>
                        </a:ext>
                      </a:extLst>
                    </a:blip>
                    <a:srcRect t="7654" b="1791"/>
                    <a:stretch>
                      <a:fillRect/>
                    </a:stretch>
                  </pic:blipFill>
                  <pic:spPr bwMode="auto">
                    <a:xfrm>
                      <a:off x="0" y="0"/>
                      <a:ext cx="5495925" cy="4210050"/>
                    </a:xfrm>
                    <a:prstGeom prst="rect">
                      <a:avLst/>
                    </a:prstGeom>
                    <a:noFill/>
                    <a:ln>
                      <a:noFill/>
                    </a:ln>
                  </pic:spPr>
                </pic:pic>
              </a:graphicData>
            </a:graphic>
          </wp:inline>
        </w:drawing>
      </w:r>
    </w:p>
    <w:p w:rsidR="00E243C4" w:rsidRPr="00A0142A" w:rsidRDefault="00E243C4" w:rsidP="00A0142A">
      <w:pPr>
        <w:pStyle w:val="Epgrafe"/>
      </w:pPr>
      <w:bookmarkStart w:id="3" w:name="_Ref310598534"/>
      <w:r w:rsidRPr="00A0142A">
        <w:t xml:space="preserve">Figura </w:t>
      </w:r>
      <w:fldSimple w:instr=" SEQ Figura \* ARABIC ">
        <w:r w:rsidR="00E174C8">
          <w:rPr>
            <w:noProof/>
          </w:rPr>
          <w:t>2</w:t>
        </w:r>
      </w:fldSimple>
      <w:bookmarkEnd w:id="3"/>
      <w:r w:rsidRPr="00A0142A">
        <w:t xml:space="preserve">. Mapa del Indicador de </w:t>
      </w:r>
      <w:r w:rsidR="00651AD1" w:rsidRPr="00A0142A">
        <w:t>Cobertura de Abastecimiento de Agua</w:t>
      </w:r>
    </w:p>
    <w:p w:rsidR="00C8522A" w:rsidRDefault="00C8522A" w:rsidP="00A91B1C">
      <w:pPr>
        <w:rPr>
          <w:b/>
          <w:bCs/>
          <w:i/>
          <w:iCs/>
        </w:rPr>
      </w:pPr>
    </w:p>
    <w:p w:rsidR="00A91B1C" w:rsidRDefault="00A91B1C" w:rsidP="00A91B1C">
      <w:r>
        <w:rPr>
          <w:b/>
          <w:bCs/>
          <w:i/>
          <w:iCs/>
        </w:rPr>
        <w:t>Indicador Cobertura de Drenaje.</w:t>
      </w:r>
    </w:p>
    <w:p w:rsidR="00A91B1C" w:rsidRDefault="00A91B1C" w:rsidP="00A91B1C">
      <w:r>
        <w:t>Este indicador se refiere a la cobertura de alcantarillado por municipio. Para obtener el valor del indicador, se calculó la razón que existe entre las viviendas con drenaje conectado a la red pública y el total de las viviendas particulares habitadas.</w:t>
      </w:r>
    </w:p>
    <w:p w:rsidR="005F500F" w:rsidRDefault="00C01027" w:rsidP="00A91B1C">
      <m:oMathPara>
        <m:oMath>
          <m:func>
            <m:funcPr>
              <m:ctrlPr>
                <w:rPr>
                  <w:rFonts w:ascii="Cambria Math" w:hAnsi="Cambria Math"/>
                  <w:i/>
                  <w:sz w:val="20"/>
                </w:rPr>
              </m:ctrlPr>
            </m:funcPr>
            <m:fName>
              <m:r>
                <w:rPr>
                  <w:rFonts w:ascii="Cambria Math" w:hAnsi="Cambria Math"/>
                  <w:sz w:val="20"/>
                </w:rPr>
                <m:t>Cobertura de drenaje</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Viviendas con drenaje conectado a la red pública</m:t>
                  </m:r>
                </m:num>
                <m:den>
                  <m:r>
                    <m:rPr>
                      <m:sty m:val="p"/>
                    </m:rPr>
                    <w:rPr>
                      <w:rFonts w:ascii="Cambria Math" w:hAnsi="Cambria Math"/>
                      <w:sz w:val="20"/>
                    </w:rPr>
                    <m:t>Viviendas particulares habitadas</m:t>
                  </m:r>
                </m:den>
              </m:f>
            </m:e>
          </m:func>
        </m:oMath>
      </m:oMathPara>
    </w:p>
    <w:p w:rsidR="005F500F" w:rsidRDefault="005F500F" w:rsidP="00A91B1C"/>
    <w:p w:rsidR="005F500F" w:rsidRDefault="00A91B1C" w:rsidP="00A91B1C">
      <w:r>
        <w:t xml:space="preserve">Al valor obtenido </w:t>
      </w:r>
      <w:r w:rsidR="005F500F">
        <w:t>se le aplicó la fórmula</w:t>
      </w:r>
      <w:r>
        <w:t xml:space="preserve"> de normalización </w:t>
      </w:r>
    </w:p>
    <w:p w:rsidR="005F500F" w:rsidRDefault="005F500F" w:rsidP="00A91B1C"/>
    <w:p w:rsidR="005F500F" w:rsidRDefault="00C01027" w:rsidP="00A91B1C">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Cobertura de drenaje</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Cobertura de drenaje</m:t>
                      </m:r>
                      <m:r>
                        <w:rPr>
                          <w:rFonts w:ascii="Cambria Math" w:hAnsi="Cambria Math"/>
                          <w:sz w:val="20"/>
                        </w:rPr>
                        <m:t>-</m:t>
                      </m:r>
                      <m:r>
                        <m:rPr>
                          <m:sty m:val="p"/>
                        </m:rPr>
                        <w:rPr>
                          <w:rFonts w:ascii="Cambria Math" w:hAnsi="Cambria Math"/>
                          <w:sz w:val="20"/>
                        </w:rPr>
                        <m:t xml:space="preserve"> Cobertura de drenaje</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Cobertura de drenaje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Cobertura de drenaje </m:t>
                      </m:r>
                      <m:r>
                        <w:rPr>
                          <w:rFonts w:ascii="Cambria Math" w:hAnsi="Cambria Math"/>
                          <w:sz w:val="20"/>
                        </w:rPr>
                        <m:t>min)</m:t>
                      </m:r>
                    </m:den>
                  </m:f>
                </m:e>
              </m:d>
            </m:e>
          </m:func>
        </m:oMath>
      </m:oMathPara>
    </w:p>
    <w:p w:rsidR="00A91B1C" w:rsidRDefault="00A91B1C" w:rsidP="00A91B1C">
      <w:r w:rsidRPr="00C8708C">
        <w:t>Para la elaboraci</w:t>
      </w:r>
      <w:r>
        <w:t xml:space="preserve">ón de este indicador se utilizaron los valores fueron tomados de la base del Segundo Conteo de Población y Vivienda INEGI 2005; y fue elaborado por la Dirección de Sistemas de Información del Agua, de la Comisión Estatal del Agua del Estado de Jalisco (CEA). </w:t>
      </w:r>
    </w:p>
    <w:p w:rsidR="00507D8C" w:rsidRDefault="00A91B1C" w:rsidP="00507D8C">
      <w:r>
        <w:t>Los resultados del indicador se plasmaron gráficamente en el mapa que se muestra en la</w:t>
      </w:r>
      <w:r w:rsidR="005F500F">
        <w:t xml:space="preserve"> </w:t>
      </w:r>
      <w:r w:rsidR="005F500F">
        <w:fldChar w:fldCharType="begin"/>
      </w:r>
      <w:r w:rsidR="005F500F">
        <w:instrText xml:space="preserve"> REF _Ref310598703 \h </w:instrText>
      </w:r>
      <w:r w:rsidR="005F500F">
        <w:fldChar w:fldCharType="separate"/>
      </w:r>
      <w:r w:rsidR="005F500F" w:rsidRPr="00A0142A">
        <w:t xml:space="preserve">Figura </w:t>
      </w:r>
      <w:r w:rsidR="005F500F">
        <w:rPr>
          <w:noProof/>
        </w:rPr>
        <w:t>3</w:t>
      </w:r>
      <w:r w:rsidR="005F500F">
        <w:fldChar w:fldCharType="end"/>
      </w:r>
      <w:r>
        <w:t>; en el cual se puede observar que los municipios que presentan menor cobertura de abastecimiento están localizados en la Regi</w:t>
      </w:r>
      <w:r w:rsidR="0081690E">
        <w:t>o</w:t>
      </w:r>
      <w:r>
        <w:t>n</w:t>
      </w:r>
      <w:r w:rsidR="0081690E">
        <w:t>es Norte, Sureste, Costa Norte y Costa Sur</w:t>
      </w:r>
      <w:r>
        <w:t xml:space="preserve">. </w:t>
      </w:r>
    </w:p>
    <w:p w:rsidR="00A91B1C" w:rsidRDefault="00BF1BD1" w:rsidP="00507D8C">
      <w:pPr>
        <w:jc w:val="center"/>
      </w:pPr>
      <w:r>
        <w:rPr>
          <w:noProof/>
          <w:lang w:eastAsia="es-MX"/>
        </w:rPr>
        <w:drawing>
          <wp:inline distT="0" distB="0" distL="0" distR="0" wp14:anchorId="24BD5DE3" wp14:editId="0FC7946D">
            <wp:extent cx="5524500" cy="4210050"/>
            <wp:effectExtent l="0" t="0" r="0" b="0"/>
            <wp:docPr id="4" name="Imagen 4" descr="dren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naje"/>
                    <pic:cNvPicPr>
                      <a:picLocks noChangeAspect="1" noChangeArrowheads="1"/>
                    </pic:cNvPicPr>
                  </pic:nvPicPr>
                  <pic:blipFill>
                    <a:blip r:embed="rId11" cstate="print">
                      <a:extLst>
                        <a:ext uri="{28A0092B-C50C-407E-A947-70E740481C1C}">
                          <a14:useLocalDpi xmlns:a14="http://schemas.microsoft.com/office/drawing/2010/main" val="0"/>
                        </a:ext>
                      </a:extLst>
                    </a:blip>
                    <a:srcRect t="7813" b="2571"/>
                    <a:stretch>
                      <a:fillRect/>
                    </a:stretch>
                  </pic:blipFill>
                  <pic:spPr bwMode="auto">
                    <a:xfrm>
                      <a:off x="0" y="0"/>
                      <a:ext cx="5524500" cy="4210050"/>
                    </a:xfrm>
                    <a:prstGeom prst="rect">
                      <a:avLst/>
                    </a:prstGeom>
                    <a:noFill/>
                    <a:ln>
                      <a:noFill/>
                    </a:ln>
                  </pic:spPr>
                </pic:pic>
              </a:graphicData>
            </a:graphic>
          </wp:inline>
        </w:drawing>
      </w:r>
    </w:p>
    <w:p w:rsidR="00A91B1C" w:rsidRPr="00A0142A" w:rsidRDefault="00A91B1C" w:rsidP="00A0142A">
      <w:pPr>
        <w:pStyle w:val="Epgrafe"/>
      </w:pPr>
      <w:bookmarkStart w:id="4" w:name="_Ref310598703"/>
      <w:r w:rsidRPr="00A0142A">
        <w:t xml:space="preserve">Figura </w:t>
      </w:r>
      <w:fldSimple w:instr=" SEQ Figura \* ARABIC ">
        <w:r w:rsidR="00E174C8">
          <w:rPr>
            <w:noProof/>
          </w:rPr>
          <w:t>3</w:t>
        </w:r>
      </w:fldSimple>
      <w:bookmarkEnd w:id="4"/>
      <w:r w:rsidRPr="00A0142A">
        <w:t>. Mapa del Indicador de Cobertura de Drenaje</w:t>
      </w:r>
    </w:p>
    <w:p w:rsidR="00C8522A" w:rsidRDefault="00C8522A" w:rsidP="00EB103A">
      <w:pPr>
        <w:rPr>
          <w:b/>
          <w:bCs/>
          <w:i/>
          <w:iCs/>
        </w:rPr>
      </w:pPr>
    </w:p>
    <w:p w:rsidR="00C66F6E" w:rsidRPr="00C66F6E" w:rsidRDefault="005866AA" w:rsidP="00EB103A">
      <w:pPr>
        <w:rPr>
          <w:b/>
          <w:bCs/>
          <w:iCs/>
          <w:u w:val="single"/>
        </w:rPr>
      </w:pPr>
      <w:r>
        <w:rPr>
          <w:b/>
          <w:bCs/>
          <w:iCs/>
          <w:u w:val="single"/>
        </w:rPr>
        <w:t xml:space="preserve">Tema </w:t>
      </w:r>
      <w:r w:rsidR="00C66F6E">
        <w:rPr>
          <w:b/>
          <w:bCs/>
          <w:iCs/>
          <w:u w:val="single"/>
        </w:rPr>
        <w:t>Biodiversidad</w:t>
      </w:r>
    </w:p>
    <w:p w:rsidR="00B92CEF" w:rsidRDefault="00B92CEF" w:rsidP="00EB103A">
      <w:r>
        <w:rPr>
          <w:b/>
          <w:bCs/>
          <w:i/>
          <w:iCs/>
        </w:rPr>
        <w:t>Indicador Especies en NOM.</w:t>
      </w:r>
    </w:p>
    <w:p w:rsidR="00B92CEF" w:rsidRDefault="00B92CEF" w:rsidP="00272A7A">
      <w:r>
        <w:t xml:space="preserve">Este indicador se refiere a la cantidad de especies en categorías de riesgo y prioritarias presentes en cada municipio (Probablemente Extinta, en Peligro de Extinción, Amenazada y Sujetas a Protección Especial, de acuerdo a la NOM-059-SEMARNAT-2001). Para obtener el valor del </w:t>
      </w:r>
      <w:r>
        <w:lastRenderedPageBreak/>
        <w:t>indicador, se calculó la razón que existe entre las especies en categoría NOM en cada municipio entre el total de especies dentro de esta categoría en todo el estado.</w:t>
      </w:r>
    </w:p>
    <w:p w:rsidR="00593B6F" w:rsidRDefault="00593B6F" w:rsidP="00272A7A"/>
    <w:p w:rsidR="00593B6F" w:rsidRDefault="00C01027" w:rsidP="00272A7A">
      <m:oMathPara>
        <m:oMath>
          <m:func>
            <m:funcPr>
              <m:ctrlPr>
                <w:rPr>
                  <w:rFonts w:ascii="Cambria Math" w:hAnsi="Cambria Math"/>
                  <w:i/>
                  <w:sz w:val="20"/>
                </w:rPr>
              </m:ctrlPr>
            </m:funcPr>
            <m:fName>
              <m:r>
                <w:rPr>
                  <w:rFonts w:ascii="Cambria Math" w:hAnsi="Cambria Math"/>
                  <w:sz w:val="20"/>
                </w:rPr>
                <m:t>Especies NOM</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Especies NOM en el municipio</m:t>
                  </m:r>
                </m:num>
                <m:den>
                  <m:r>
                    <m:rPr>
                      <m:sty m:val="p"/>
                    </m:rPr>
                    <w:rPr>
                      <w:rFonts w:ascii="Cambria Math" w:hAnsi="Cambria Math"/>
                      <w:sz w:val="20"/>
                    </w:rPr>
                    <m:t>Especies NOM en el estado</m:t>
                  </m:r>
                </m:den>
              </m:f>
            </m:e>
          </m:func>
        </m:oMath>
      </m:oMathPara>
    </w:p>
    <w:p w:rsidR="00593B6F" w:rsidRDefault="00593B6F" w:rsidP="0074129E"/>
    <w:p w:rsidR="00593B6F" w:rsidRDefault="00B92CEF" w:rsidP="0074129E">
      <w:r>
        <w:t xml:space="preserve">Al valor obtenido </w:t>
      </w:r>
      <w:r w:rsidR="00593B6F">
        <w:t xml:space="preserve">se le aplicó la fórmula </w:t>
      </w:r>
      <w:r>
        <w:t xml:space="preserve">de normalización </w:t>
      </w:r>
    </w:p>
    <w:p w:rsidR="00593B6F" w:rsidRDefault="00C01027" w:rsidP="0074129E">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Especies NOM</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Especies NOM</m:t>
                      </m:r>
                      <m:r>
                        <w:rPr>
                          <w:rFonts w:ascii="Cambria Math" w:hAnsi="Cambria Math"/>
                          <w:sz w:val="20"/>
                        </w:rPr>
                        <m:t>-</m:t>
                      </m:r>
                      <m:r>
                        <m:rPr>
                          <m:sty m:val="p"/>
                        </m:rPr>
                        <w:rPr>
                          <w:rFonts w:ascii="Cambria Math" w:hAnsi="Cambria Math"/>
                          <w:sz w:val="20"/>
                        </w:rPr>
                        <m:t xml:space="preserve"> Especies NOM</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Especies NOM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Especies NOM </m:t>
                      </m:r>
                      <m:r>
                        <w:rPr>
                          <w:rFonts w:ascii="Cambria Math" w:hAnsi="Cambria Math"/>
                          <w:sz w:val="20"/>
                        </w:rPr>
                        <m:t>min)</m:t>
                      </m:r>
                    </m:den>
                  </m:f>
                </m:e>
              </m:d>
            </m:e>
          </m:func>
        </m:oMath>
      </m:oMathPara>
    </w:p>
    <w:p w:rsidR="00593B6F" w:rsidRDefault="00593B6F" w:rsidP="0074129E"/>
    <w:p w:rsidR="00B92CEF" w:rsidRDefault="00B92CEF" w:rsidP="0074129E">
      <w:r w:rsidRPr="00C8708C">
        <w:t>Para la elaboraci</w:t>
      </w:r>
      <w:r>
        <w:t>ón de este indicador se utilizaron los datos del</w:t>
      </w:r>
      <w:r w:rsidRPr="00C8708C">
        <w:t xml:space="preserve"> Sistema Nacional de Información sobre Biodiversidad (SNIB)</w:t>
      </w:r>
      <w:r>
        <w:t xml:space="preserve"> sobre las especies en riesgo y prioritarias, publicados por </w:t>
      </w:r>
      <w:r w:rsidRPr="00C8708C">
        <w:t>la Comisión Nacional para el Conocimiento y Uso de la Biodiversidad (CONABIO), 2010</w:t>
      </w:r>
      <w:r>
        <w:t xml:space="preserve">; y Límites municipales del Estado de Jalisco 2008 (publicado en el periódico Oficial El Estado de Jalisco el 7 de febrero de 2009). </w:t>
      </w:r>
    </w:p>
    <w:p w:rsidR="00507D8C" w:rsidRDefault="00B92CEF" w:rsidP="00507D8C">
      <w:r>
        <w:t>Los resultados del indicador se plasmaron gráficamente en el mapa que se muestra en la</w:t>
      </w:r>
      <w:r w:rsidR="00593B6F">
        <w:t xml:space="preserve"> </w:t>
      </w:r>
      <w:r w:rsidR="00593B6F">
        <w:fldChar w:fldCharType="begin"/>
      </w:r>
      <w:r w:rsidR="00593B6F">
        <w:instrText xml:space="preserve"> REF _Ref310599390 \h </w:instrText>
      </w:r>
      <w:r w:rsidR="00593B6F">
        <w:fldChar w:fldCharType="separate"/>
      </w:r>
      <w:r w:rsidR="00593B6F" w:rsidRPr="00A0142A">
        <w:t xml:space="preserve">Figura </w:t>
      </w:r>
      <w:r w:rsidR="00593B6F">
        <w:rPr>
          <w:noProof/>
        </w:rPr>
        <w:t>4</w:t>
      </w:r>
      <w:r w:rsidR="00593B6F">
        <w:fldChar w:fldCharType="end"/>
      </w:r>
      <w:r>
        <w:t xml:space="preserve">; en el cual se puede observar que los municipios que presentan mayor cantidad de especies en categoría de riesgo y prioritarias, están localizados en las regiones: Costa Sur, Costa Norte, Sierra Occidental y Norte. </w:t>
      </w:r>
    </w:p>
    <w:p w:rsidR="00B92CEF" w:rsidRDefault="00BF1BD1" w:rsidP="00507D8C">
      <w:pPr>
        <w:jc w:val="center"/>
      </w:pPr>
      <w:r>
        <w:rPr>
          <w:noProof/>
          <w:lang w:eastAsia="es-MX"/>
        </w:rPr>
        <w:drawing>
          <wp:inline distT="0" distB="0" distL="0" distR="0" wp14:anchorId="7695CD98" wp14:editId="6BFD42AB">
            <wp:extent cx="5324475" cy="395287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l="2502" t="6049" r="4941" b="12679"/>
                    <a:stretch>
                      <a:fillRect/>
                    </a:stretch>
                  </pic:blipFill>
                  <pic:spPr bwMode="auto">
                    <a:xfrm>
                      <a:off x="0" y="0"/>
                      <a:ext cx="5324475" cy="3952875"/>
                    </a:xfrm>
                    <a:prstGeom prst="rect">
                      <a:avLst/>
                    </a:prstGeom>
                    <a:noFill/>
                    <a:ln>
                      <a:noFill/>
                    </a:ln>
                  </pic:spPr>
                </pic:pic>
              </a:graphicData>
            </a:graphic>
          </wp:inline>
        </w:drawing>
      </w:r>
    </w:p>
    <w:p w:rsidR="00B92CEF" w:rsidRPr="00A0142A" w:rsidRDefault="00B92CEF" w:rsidP="00A0142A">
      <w:pPr>
        <w:pStyle w:val="Epgrafe"/>
      </w:pPr>
      <w:bookmarkStart w:id="5" w:name="_Ref310599390"/>
      <w:r w:rsidRPr="00A0142A">
        <w:t xml:space="preserve">Figura </w:t>
      </w:r>
      <w:fldSimple w:instr=" SEQ Figura \* ARABIC ">
        <w:r w:rsidR="00E174C8">
          <w:rPr>
            <w:noProof/>
          </w:rPr>
          <w:t>4</w:t>
        </w:r>
      </w:fldSimple>
      <w:bookmarkEnd w:id="5"/>
      <w:r w:rsidRPr="00A0142A">
        <w:t>. Mapa del Indicador de Especies en NOM</w:t>
      </w:r>
    </w:p>
    <w:p w:rsidR="00C8522A" w:rsidRDefault="00593B6F" w:rsidP="00F11AC9">
      <w:pPr>
        <w:rPr>
          <w:b/>
          <w:bCs/>
          <w:i/>
          <w:iCs/>
        </w:rPr>
      </w:pPr>
      <w:r>
        <w:rPr>
          <w:b/>
          <w:bCs/>
          <w:i/>
          <w:iCs/>
        </w:rPr>
        <w:t xml:space="preserve">Indicador </w:t>
      </w:r>
      <w:r w:rsidR="003F4D33">
        <w:rPr>
          <w:b/>
          <w:bCs/>
          <w:i/>
          <w:iCs/>
        </w:rPr>
        <w:t>UGAs</w:t>
      </w:r>
      <w:r>
        <w:rPr>
          <w:b/>
          <w:bCs/>
          <w:i/>
          <w:iCs/>
        </w:rPr>
        <w:t xml:space="preserve"> con </w:t>
      </w:r>
      <w:r w:rsidR="002212D2">
        <w:rPr>
          <w:b/>
          <w:bCs/>
          <w:i/>
          <w:iCs/>
        </w:rPr>
        <w:t>V</w:t>
      </w:r>
      <w:r w:rsidR="00FB23CC">
        <w:rPr>
          <w:b/>
          <w:bCs/>
          <w:i/>
          <w:iCs/>
        </w:rPr>
        <w:t>ocación</w:t>
      </w:r>
      <w:r>
        <w:rPr>
          <w:b/>
          <w:bCs/>
          <w:i/>
          <w:iCs/>
        </w:rPr>
        <w:t xml:space="preserve"> para la </w:t>
      </w:r>
      <w:r w:rsidR="002212D2">
        <w:rPr>
          <w:b/>
          <w:bCs/>
          <w:i/>
          <w:iCs/>
        </w:rPr>
        <w:t>C</w:t>
      </w:r>
      <w:r>
        <w:rPr>
          <w:b/>
          <w:bCs/>
          <w:i/>
          <w:iCs/>
        </w:rPr>
        <w:t>onservación</w:t>
      </w:r>
    </w:p>
    <w:p w:rsidR="00FB23CC" w:rsidRDefault="00FB23CC" w:rsidP="00FB23CC">
      <w:r>
        <w:lastRenderedPageBreak/>
        <w:t>E</w:t>
      </w:r>
      <w:r w:rsidR="003F4D33">
        <w:t xml:space="preserve">ste </w:t>
      </w:r>
      <w:r>
        <w:t xml:space="preserve">indicador se refiere a la superficie de cada municipio que está dentro de una UGA con vocación para ser conservada de acuerdo al POET </w:t>
      </w:r>
      <w:r w:rsidR="003F4D33">
        <w:t xml:space="preserve">realizado por la SEMADES para </w:t>
      </w:r>
      <w:r>
        <w:t>el estado de Jalisco.</w:t>
      </w:r>
    </w:p>
    <w:p w:rsidR="00FB23CC" w:rsidRDefault="003F4D33" w:rsidP="00FB23CC">
      <w:r>
        <w:t xml:space="preserve">El cálculo </w:t>
      </w:r>
      <w:r w:rsidR="00FB23CC">
        <w:t xml:space="preserve">se obtuvo de la razón que existe entre la superficie </w:t>
      </w:r>
      <w:r>
        <w:t>con vocación para la conservación</w:t>
      </w:r>
      <w:r w:rsidR="00FB23CC">
        <w:t xml:space="preserve"> y la superficie municipal</w:t>
      </w:r>
    </w:p>
    <w:p w:rsidR="003F4D33" w:rsidRPr="00C17BBF" w:rsidRDefault="00C01027" w:rsidP="00FB23CC">
      <m:oMathPara>
        <m:oMath>
          <m:func>
            <m:funcPr>
              <m:ctrlPr>
                <w:rPr>
                  <w:rFonts w:ascii="Cambria Math" w:hAnsi="Cambria Math"/>
                  <w:i/>
                  <w:sz w:val="20"/>
                </w:rPr>
              </m:ctrlPr>
            </m:funcPr>
            <m:fName>
              <m:r>
                <m:rPr>
                  <m:sty m:val="p"/>
                </m:rPr>
                <w:rPr>
                  <w:rFonts w:ascii="Cambria Math" w:hAnsi="Cambria Math"/>
                  <w:sz w:val="20"/>
                </w:rPr>
                <m:t>UGAs con Vocación para la Conservación</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con vocación para la conservación</m:t>
                  </m:r>
                </m:num>
                <m:den>
                  <m:r>
                    <m:rPr>
                      <m:sty m:val="p"/>
                    </m:rPr>
                    <w:rPr>
                      <w:rFonts w:ascii="Cambria Math" w:hAnsi="Cambria Math"/>
                      <w:sz w:val="20"/>
                    </w:rPr>
                    <m:t>Superficie municipal</m:t>
                  </m:r>
                </m:den>
              </m:f>
            </m:e>
          </m:func>
        </m:oMath>
      </m:oMathPara>
    </w:p>
    <w:p w:rsidR="00FB23CC" w:rsidRDefault="00FB23CC" w:rsidP="00FB23CC">
      <w:r>
        <w:t xml:space="preserve">Al valor obtenido </w:t>
      </w:r>
      <w:r w:rsidR="0053135C">
        <w:t>se le aplicó la fórmula</w:t>
      </w:r>
      <w:r>
        <w:t xml:space="preserve"> de normalización </w:t>
      </w:r>
    </w:p>
    <w:p w:rsidR="0053135C" w:rsidRDefault="00C01027" w:rsidP="00FB23CC">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UGAs con Voc. Cons.</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UGAs con Voc. Cons.</m:t>
                      </m:r>
                      <m:r>
                        <w:rPr>
                          <w:rFonts w:ascii="Cambria Math" w:hAnsi="Cambria Math"/>
                          <w:sz w:val="20"/>
                        </w:rPr>
                        <m:t>-</m:t>
                      </m:r>
                      <m:r>
                        <m:rPr>
                          <m:sty m:val="p"/>
                        </m:rPr>
                        <w:rPr>
                          <w:rFonts w:ascii="Cambria Math" w:hAnsi="Cambria Math"/>
                          <w:sz w:val="20"/>
                        </w:rPr>
                        <m:t xml:space="preserve"> UGAs con Voc. Cons.</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UGAs con Voc. Cons.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UGAs con Voc. Cons. </m:t>
                      </m:r>
                      <m:r>
                        <w:rPr>
                          <w:rFonts w:ascii="Cambria Math" w:hAnsi="Cambria Math"/>
                          <w:sz w:val="20"/>
                        </w:rPr>
                        <m:t>min)</m:t>
                      </m:r>
                    </m:den>
                  </m:f>
                </m:e>
              </m:d>
            </m:e>
          </m:func>
        </m:oMath>
      </m:oMathPara>
    </w:p>
    <w:p w:rsidR="0053135C" w:rsidRDefault="0053135C" w:rsidP="00FB23CC"/>
    <w:p w:rsidR="00FB23CC" w:rsidRDefault="00FB23CC" w:rsidP="00FB23CC">
      <w:r>
        <w:t xml:space="preserve">Los datos de </w:t>
      </w:r>
      <w:r w:rsidR="0053135C">
        <w:t xml:space="preserve">las UGAs </w:t>
      </w:r>
      <w:r>
        <w:t xml:space="preserve">utilizados para el cálculo del indicador, fueron los </w:t>
      </w:r>
      <w:r w:rsidR="0053135C">
        <w:t xml:space="preserve">contenidos en el POET </w:t>
      </w:r>
      <w:r>
        <w:t xml:space="preserve">elaborado por </w:t>
      </w:r>
      <w:r w:rsidR="0053135C">
        <w:t>la SEMADES</w:t>
      </w:r>
      <w:r>
        <w:t xml:space="preserve"> en el </w:t>
      </w:r>
      <w:r w:rsidR="0053135C">
        <w:t xml:space="preserve">año </w:t>
      </w:r>
      <w:r>
        <w:t>200</w:t>
      </w:r>
      <w:r w:rsidR="0053135C">
        <w:t>0</w:t>
      </w:r>
      <w:r>
        <w:t xml:space="preserve">; así como los Límites municipales del Estado de Jalisco 2008 (publicado en el periódico Oficial El Estado de Jalisco el 7 de febrero de 2009). </w:t>
      </w:r>
    </w:p>
    <w:p w:rsidR="00FB23CC" w:rsidRDefault="00FB23CC" w:rsidP="00FB23CC">
      <w:r>
        <w:t xml:space="preserve">Los resultados del indicador se plasmaron gráficamente en el mapa que se muestra en la </w:t>
      </w:r>
      <w:r w:rsidR="00061F07" w:rsidRPr="00FA100B">
        <w:fldChar w:fldCharType="begin"/>
      </w:r>
      <w:r w:rsidR="00061F07" w:rsidRPr="00FA100B">
        <w:instrText xml:space="preserve"> REF _Ref310853421 \h </w:instrText>
      </w:r>
      <w:r w:rsidR="00FA100B">
        <w:instrText xml:space="preserve"> \* MERGEFORMAT </w:instrText>
      </w:r>
      <w:r w:rsidR="00061F07" w:rsidRPr="00FA100B">
        <w:fldChar w:fldCharType="separate"/>
      </w:r>
      <w:r w:rsidR="00061F07" w:rsidRPr="00FA100B">
        <w:t xml:space="preserve">Figura </w:t>
      </w:r>
      <w:r w:rsidR="00061F07" w:rsidRPr="00FA100B">
        <w:rPr>
          <w:noProof/>
        </w:rPr>
        <w:t>5</w:t>
      </w:r>
      <w:r w:rsidR="00061F07" w:rsidRPr="00FA100B">
        <w:fldChar w:fldCharType="end"/>
      </w:r>
      <w:r w:rsidRPr="00FA100B">
        <w:t xml:space="preserve">; en el cual se puede observar que los municipios que presentan mayor superficie </w:t>
      </w:r>
      <w:r w:rsidR="00FA100B" w:rsidRPr="00FA100B">
        <w:t>con vocación para la conservación</w:t>
      </w:r>
      <w:r w:rsidRPr="00FA100B">
        <w:t>,</w:t>
      </w:r>
      <w:r w:rsidR="00FA100B" w:rsidRPr="00FA100B">
        <w:t xml:space="preserve"> son los localizados en las Regiones Sierra de Amula, Sur, Sureste, Sierra Occidental, Valles, Norte y Centro</w:t>
      </w:r>
      <w:r w:rsidRPr="00FA100B">
        <w:t>.</w:t>
      </w:r>
      <w:r>
        <w:t xml:space="preserve"> </w:t>
      </w:r>
    </w:p>
    <w:p w:rsidR="00061F07" w:rsidRDefault="00061F07" w:rsidP="00061F07">
      <w:pPr>
        <w:keepNext/>
        <w:jc w:val="center"/>
      </w:pPr>
      <w:r>
        <w:rPr>
          <w:noProof/>
          <w:lang w:eastAsia="es-MX"/>
        </w:rPr>
        <w:drawing>
          <wp:inline distT="0" distB="0" distL="0" distR="0" wp14:anchorId="6DF37D19" wp14:editId="31132656">
            <wp:extent cx="5651888" cy="3952800"/>
            <wp:effectExtent l="0" t="0" r="6350" b="0"/>
            <wp:docPr id="11" name="Imagen 11" descr="D:\Miros\Indicadores\Mapas\ugas con vocacion para la conser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ros\Indicadores\Mapas\ugas con vocacion para la conservacio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39" b="8883"/>
                    <a:stretch/>
                  </pic:blipFill>
                  <pic:spPr bwMode="auto">
                    <a:xfrm>
                      <a:off x="0" y="0"/>
                      <a:ext cx="5651888"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53135C" w:rsidRDefault="00061F07" w:rsidP="00061F07">
      <w:pPr>
        <w:pStyle w:val="Epgrafe"/>
      </w:pPr>
      <w:bookmarkStart w:id="6" w:name="_Ref310853421"/>
      <w:r>
        <w:t xml:space="preserve">Figura </w:t>
      </w:r>
      <w:fldSimple w:instr=" SEQ Figura \* ARABIC ">
        <w:r w:rsidR="00E174C8">
          <w:rPr>
            <w:noProof/>
          </w:rPr>
          <w:t>5</w:t>
        </w:r>
      </w:fldSimple>
      <w:bookmarkEnd w:id="6"/>
      <w:r>
        <w:t>. Mapa del Indicador de UGAs con Vocación para la Conservación</w:t>
      </w:r>
    </w:p>
    <w:p w:rsidR="00593B6F" w:rsidRPr="00593B6F" w:rsidRDefault="00593B6F" w:rsidP="00F11AC9">
      <w:pPr>
        <w:rPr>
          <w:bCs/>
          <w:iCs/>
        </w:rPr>
      </w:pPr>
    </w:p>
    <w:p w:rsidR="0016292A" w:rsidRDefault="0016292A">
      <w:pPr>
        <w:spacing w:before="0" w:after="0"/>
        <w:jc w:val="left"/>
        <w:rPr>
          <w:b/>
          <w:bCs/>
          <w:i/>
          <w:iCs/>
        </w:rPr>
      </w:pPr>
      <w:r>
        <w:rPr>
          <w:b/>
          <w:bCs/>
          <w:i/>
          <w:iCs/>
        </w:rPr>
        <w:br w:type="page"/>
      </w:r>
    </w:p>
    <w:p w:rsidR="00593B6F" w:rsidRDefault="00593B6F" w:rsidP="00F11AC9">
      <w:pPr>
        <w:rPr>
          <w:b/>
          <w:bCs/>
          <w:i/>
          <w:iCs/>
        </w:rPr>
      </w:pPr>
      <w:r>
        <w:rPr>
          <w:b/>
          <w:bCs/>
          <w:i/>
          <w:iCs/>
        </w:rPr>
        <w:lastRenderedPageBreak/>
        <w:t>Indicador Áreas Naturales Protegidas</w:t>
      </w:r>
    </w:p>
    <w:p w:rsidR="00297EA2" w:rsidRDefault="00297EA2" w:rsidP="00297EA2">
      <w:r>
        <w:t>Este indicador se refiere a la superficie de cada municipio que está dentro de un Área Natural Protegida.</w:t>
      </w:r>
      <w:r w:rsidR="00001A36">
        <w:t xml:space="preserve"> </w:t>
      </w:r>
      <w:r>
        <w:t xml:space="preserve">El cálculo se obtuvo de la razón que existe entre la superficie </w:t>
      </w:r>
      <w:r w:rsidR="00001A36">
        <w:t>que está dentro de un ANP</w:t>
      </w:r>
      <w:r>
        <w:t xml:space="preserve"> y la superficie municipal</w:t>
      </w:r>
    </w:p>
    <w:p w:rsidR="00E71348" w:rsidRDefault="00E71348" w:rsidP="00297EA2"/>
    <w:p w:rsidR="00297EA2" w:rsidRPr="00C17BBF" w:rsidRDefault="00C01027" w:rsidP="00297EA2">
      <m:oMathPara>
        <m:oMath>
          <m:func>
            <m:funcPr>
              <m:ctrlPr>
                <w:rPr>
                  <w:rFonts w:ascii="Cambria Math" w:hAnsi="Cambria Math"/>
                  <w:i/>
                  <w:sz w:val="20"/>
                </w:rPr>
              </m:ctrlPr>
            </m:funcPr>
            <m:fName>
              <m:r>
                <m:rPr>
                  <m:sty m:val="p"/>
                </m:rPr>
                <w:rPr>
                  <w:rFonts w:ascii="Cambria Math" w:hAnsi="Cambria Math"/>
                  <w:sz w:val="20"/>
                </w:rPr>
                <m:t>Áreas Naturales Protegidas</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ANP por municipio</m:t>
                  </m:r>
                </m:num>
                <m:den>
                  <m:r>
                    <m:rPr>
                      <m:sty m:val="p"/>
                    </m:rPr>
                    <w:rPr>
                      <w:rFonts w:ascii="Cambria Math" w:hAnsi="Cambria Math"/>
                      <w:sz w:val="20"/>
                    </w:rPr>
                    <m:t>Superficie municipal</m:t>
                  </m:r>
                </m:den>
              </m:f>
            </m:e>
          </m:func>
        </m:oMath>
      </m:oMathPara>
    </w:p>
    <w:p w:rsidR="00E71348" w:rsidRDefault="00E71348" w:rsidP="00297EA2"/>
    <w:p w:rsidR="00297EA2" w:rsidRDefault="00297EA2" w:rsidP="00297EA2">
      <w:r>
        <w:t xml:space="preserve">Al valor obtenido se le aplicó la fórmula de normalización </w:t>
      </w:r>
    </w:p>
    <w:p w:rsidR="00E71348" w:rsidRDefault="00E71348" w:rsidP="00297EA2"/>
    <w:p w:rsidR="00297EA2" w:rsidRDefault="00C01027" w:rsidP="00297EA2">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Áreas Naturales Protegidas</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Áreas Naturales Protegidas</m:t>
                      </m:r>
                      <m:r>
                        <w:rPr>
                          <w:rFonts w:ascii="Cambria Math" w:hAnsi="Cambria Math"/>
                          <w:sz w:val="20"/>
                        </w:rPr>
                        <m:t>-</m:t>
                      </m:r>
                      <m:r>
                        <m:rPr>
                          <m:sty m:val="p"/>
                        </m:rPr>
                        <w:rPr>
                          <w:rFonts w:ascii="Cambria Math" w:hAnsi="Cambria Math"/>
                          <w:sz w:val="20"/>
                        </w:rPr>
                        <m:t xml:space="preserve"> Áreas Naturales Protegidas</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Áreas Naturales Protegidas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Áreas Naturales Protegidas </m:t>
                      </m:r>
                      <m:r>
                        <w:rPr>
                          <w:rFonts w:ascii="Cambria Math" w:hAnsi="Cambria Math"/>
                          <w:sz w:val="20"/>
                        </w:rPr>
                        <m:t>min)</m:t>
                      </m:r>
                    </m:den>
                  </m:f>
                </m:e>
              </m:d>
            </m:e>
          </m:func>
        </m:oMath>
      </m:oMathPara>
    </w:p>
    <w:p w:rsidR="00297EA2" w:rsidRDefault="00297EA2" w:rsidP="00297EA2"/>
    <w:p w:rsidR="00297EA2" w:rsidRDefault="00297EA2" w:rsidP="00297EA2">
      <w:r>
        <w:t xml:space="preserve">Los datos de las </w:t>
      </w:r>
      <w:r w:rsidR="00001A36">
        <w:t xml:space="preserve">ANP que se utilizaron para </w:t>
      </w:r>
      <w:r>
        <w:t xml:space="preserve">el cálculo del indicador, fueron los </w:t>
      </w:r>
      <w:r w:rsidR="00001A36">
        <w:t>proporcionados por la SEMADES</w:t>
      </w:r>
      <w:r>
        <w:t xml:space="preserve">; así como los Límites municipales del Estado de Jalisco 2008 (publicado en el periódico Oficial El Estado de Jalisco el 7 de febrero de 2009). </w:t>
      </w:r>
    </w:p>
    <w:p w:rsidR="00593B6F" w:rsidRPr="00593B6F" w:rsidRDefault="00297EA2" w:rsidP="00297EA2">
      <w:pPr>
        <w:rPr>
          <w:bCs/>
          <w:iCs/>
        </w:rPr>
      </w:pPr>
      <w:r>
        <w:t xml:space="preserve">Los resultados del indicador se plasmaron gráficamente en el mapa que se muestra en la </w:t>
      </w:r>
      <w:r w:rsidR="00E71348" w:rsidRPr="008C44B4">
        <w:fldChar w:fldCharType="begin"/>
      </w:r>
      <w:r w:rsidR="00E71348" w:rsidRPr="008C44B4">
        <w:instrText xml:space="preserve"> REF _Ref310851549 \h </w:instrText>
      </w:r>
      <w:r w:rsidR="008C44B4">
        <w:instrText xml:space="preserve"> \* MERGEFORMAT </w:instrText>
      </w:r>
      <w:r w:rsidR="00E71348" w:rsidRPr="008C44B4">
        <w:fldChar w:fldCharType="separate"/>
      </w:r>
      <w:r w:rsidR="00FA100B">
        <w:t xml:space="preserve">Figura </w:t>
      </w:r>
      <w:r w:rsidR="00FA100B">
        <w:rPr>
          <w:noProof/>
        </w:rPr>
        <w:t>6</w:t>
      </w:r>
      <w:r w:rsidR="00E71348" w:rsidRPr="008C44B4">
        <w:fldChar w:fldCharType="end"/>
      </w:r>
      <w:r w:rsidRPr="008C44B4">
        <w:t xml:space="preserve">; en el cual se puede observar que los municipios que presentan mayor superficie </w:t>
      </w:r>
      <w:r w:rsidR="008C44B4" w:rsidRPr="008C44B4">
        <w:t>con ANPs</w:t>
      </w:r>
      <w:r w:rsidRPr="008C44B4">
        <w:t>,</w:t>
      </w:r>
      <w:r w:rsidR="008C44B4" w:rsidRPr="008C44B4">
        <w:t xml:space="preserve"> son San Sebastián del Oeste, Tolimán, San Martín de Bolaños, Cuautitlán de García Barragán y Casimiro Castillo de la Región Costa Sur, y Cuautla y Atenguillo de la Región Sierra Occidental</w:t>
      </w:r>
      <w:r w:rsidRPr="008C44B4">
        <w:t>.</w:t>
      </w:r>
    </w:p>
    <w:p w:rsidR="00E71348" w:rsidRDefault="00E71348" w:rsidP="00E71348">
      <w:pPr>
        <w:keepNext/>
        <w:jc w:val="center"/>
      </w:pPr>
      <w:r>
        <w:rPr>
          <w:bCs/>
          <w:iCs/>
          <w:noProof/>
          <w:lang w:eastAsia="es-MX"/>
        </w:rPr>
        <w:drawing>
          <wp:inline distT="0" distB="0" distL="0" distR="0" wp14:anchorId="46B28DA1" wp14:editId="4AF031E7">
            <wp:extent cx="5264570" cy="3952800"/>
            <wp:effectExtent l="0" t="0" r="0" b="0"/>
            <wp:docPr id="10" name="Imagen 10" descr="D:\Miros\Indicadores\Mapas\a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ros\Indicadores\Mapas\an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37" r="3370" b="8317"/>
                    <a:stretch/>
                  </pic:blipFill>
                  <pic:spPr bwMode="auto">
                    <a:xfrm>
                      <a:off x="0" y="0"/>
                      <a:ext cx="5264570"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593B6F" w:rsidRDefault="00E71348" w:rsidP="00E71348">
      <w:pPr>
        <w:pStyle w:val="Epgrafe"/>
        <w:rPr>
          <w:bCs w:val="0"/>
          <w:iCs/>
        </w:rPr>
      </w:pPr>
      <w:bookmarkStart w:id="7" w:name="_Ref310851549"/>
      <w:r>
        <w:t xml:space="preserve">Figura </w:t>
      </w:r>
      <w:fldSimple w:instr=" SEQ Figura \* ARABIC ">
        <w:r w:rsidR="00E174C8">
          <w:rPr>
            <w:noProof/>
          </w:rPr>
          <w:t>6</w:t>
        </w:r>
      </w:fldSimple>
      <w:bookmarkEnd w:id="7"/>
      <w:r>
        <w:t>. Mapa del indicador de Áreas Naturales Protegidas</w:t>
      </w:r>
    </w:p>
    <w:p w:rsidR="00E71348" w:rsidRPr="00593B6F" w:rsidRDefault="00E71348" w:rsidP="00F11AC9">
      <w:pPr>
        <w:rPr>
          <w:bCs/>
          <w:iCs/>
        </w:rPr>
      </w:pPr>
    </w:p>
    <w:p w:rsidR="00C66F6E" w:rsidRPr="00C66F6E" w:rsidRDefault="00593B6F" w:rsidP="00F11AC9">
      <w:pPr>
        <w:rPr>
          <w:b/>
          <w:bCs/>
          <w:iCs/>
          <w:u w:val="single"/>
        </w:rPr>
      </w:pPr>
      <w:r>
        <w:rPr>
          <w:b/>
          <w:bCs/>
          <w:iCs/>
          <w:u w:val="single"/>
        </w:rPr>
        <w:t xml:space="preserve">Tema </w:t>
      </w:r>
      <w:r w:rsidR="00C66F6E">
        <w:rPr>
          <w:b/>
          <w:bCs/>
          <w:iCs/>
          <w:u w:val="single"/>
        </w:rPr>
        <w:t>Residuos sólidos urbanos</w:t>
      </w:r>
    </w:p>
    <w:p w:rsidR="00B92CEF" w:rsidRDefault="00B92CEF" w:rsidP="00F11AC9">
      <w:pPr>
        <w:rPr>
          <w:b/>
          <w:bCs/>
          <w:i/>
          <w:iCs/>
        </w:rPr>
      </w:pPr>
      <w:r>
        <w:rPr>
          <w:b/>
          <w:bCs/>
          <w:i/>
          <w:iCs/>
        </w:rPr>
        <w:t xml:space="preserve">Indicador </w:t>
      </w:r>
      <w:r w:rsidR="009D0819">
        <w:rPr>
          <w:b/>
          <w:bCs/>
          <w:i/>
          <w:iCs/>
        </w:rPr>
        <w:t>Generación de Residuos Sólidos Municipales.</w:t>
      </w:r>
    </w:p>
    <w:p w:rsidR="00B92CEF" w:rsidRDefault="00B92CEF" w:rsidP="00B94EFD">
      <w:r>
        <w:t>Este indicador presenta la participación del municipio en la generación de residuos sólidos con respecto al total estatal; el resultado se obtuvo calculando la razón que existe entre la generación de residuos sólidos urbanos municipales y la generación estatal de este tipo de residuos.</w:t>
      </w:r>
    </w:p>
    <w:p w:rsidR="00E807AD" w:rsidRPr="00E807AD" w:rsidRDefault="00E807AD" w:rsidP="00B94EFD"/>
    <w:p w:rsidR="00E807AD" w:rsidRPr="00E807AD" w:rsidRDefault="00C01027" w:rsidP="00B94EFD">
      <m:oMathPara>
        <m:oMath>
          <m:func>
            <m:funcPr>
              <m:ctrlPr>
                <w:rPr>
                  <w:rFonts w:ascii="Cambria Math" w:hAnsi="Cambria Math"/>
                  <w:sz w:val="20"/>
                </w:rPr>
              </m:ctrlPr>
            </m:funcPr>
            <m:fName>
              <m:r>
                <w:rPr>
                  <w:rFonts w:ascii="Cambria Math" w:hAnsi="Cambria Math"/>
                  <w:sz w:val="18"/>
                  <w:szCs w:val="18"/>
                </w:rPr>
                <m:t>Generación de RSM</m:t>
              </m:r>
              <m:r>
                <m:rPr>
                  <m:sty m:val="p"/>
                </m:rPr>
                <w:rPr>
                  <w:rFonts w:ascii="Cambria Math" w:hAnsi="Cambria Math"/>
                  <w:sz w:val="18"/>
                  <w:szCs w:val="18"/>
                </w:rPr>
                <m:t xml:space="preserve"> </m:t>
              </m:r>
            </m:fName>
            <m:e>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18"/>
                      <w:szCs w:val="18"/>
                    </w:rPr>
                    <m:t>Residuos sólidos urbanos municipales</m:t>
                  </m:r>
                </m:num>
                <m:den>
                  <m:r>
                    <m:rPr>
                      <m:sty m:val="p"/>
                    </m:rPr>
                    <w:rPr>
                      <w:rFonts w:ascii="Cambria Math" w:hAnsi="Cambria Math"/>
                      <w:sz w:val="18"/>
                      <w:szCs w:val="18"/>
                    </w:rPr>
                    <m:t>Residuos sólidos urbanos en el estado</m:t>
                  </m:r>
                </m:den>
              </m:f>
            </m:e>
          </m:func>
        </m:oMath>
      </m:oMathPara>
    </w:p>
    <w:p w:rsidR="00E807AD" w:rsidRDefault="00E807AD" w:rsidP="00FB2B32"/>
    <w:p w:rsidR="00E807AD" w:rsidRDefault="00E807AD" w:rsidP="00E807AD">
      <w:r>
        <w:t>Al valor obtenido se le aplicó la fórmula de normalización, modificada con la operación de complemento, debido a que es un indicador en sentido negativo</w:t>
      </w:r>
    </w:p>
    <w:p w:rsidR="00E807AD" w:rsidRDefault="00E807AD" w:rsidP="00E807AD"/>
    <w:p w:rsidR="00E807AD" w:rsidRDefault="00C01027" w:rsidP="00E807AD">
      <m:oMathPara>
        <m:oMath>
          <m:func>
            <m:funcPr>
              <m:ctrlPr>
                <w:rPr>
                  <w:rFonts w:ascii="Cambria Math" w:hAnsi="Cambria Math"/>
                  <w:i/>
                  <w:sz w:val="20"/>
                </w:rPr>
              </m:ctrlPr>
            </m:funcPr>
            <m:fName>
              <m:r>
                <m:rPr>
                  <m:nor/>
                </m:rP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18"/>
                      <w:szCs w:val="18"/>
                    </w:rPr>
                    <m:t>Generación de RSM</m:t>
                  </m:r>
                </m:e>
                <m:sub>
                  <m:r>
                    <m:rPr>
                      <m:nor/>
                    </m:rPr>
                    <w:rPr>
                      <w:rFonts w:ascii="Cambria Math" w:hAnsi="Cambria Math"/>
                      <w:i/>
                      <w:sz w:val="20"/>
                    </w:rPr>
                    <m:t>normalizado</m:t>
                  </m:r>
                </m:sub>
              </m:sSub>
              <m:r>
                <m:rPr>
                  <m:nor/>
                </m:rPr>
                <w:rPr>
                  <w:rFonts w:ascii="Cambria Math" w:hAnsi="Cambria Math"/>
                  <w:sz w:val="20"/>
                </w:rPr>
                <m:t>=</m:t>
              </m:r>
            </m:fName>
            <m:e>
              <m:r>
                <m:rPr>
                  <m:nor/>
                </m:rPr>
                <w:rPr>
                  <w:rFonts w:ascii="Cambria Math" w:hAnsi="Cambria Math"/>
                  <w:sz w:val="20"/>
                </w:rPr>
                <m:t>1-</m:t>
              </m:r>
              <m:d>
                <m:dPr>
                  <m:ctrlPr>
                    <w:rPr>
                      <w:rFonts w:ascii="Cambria Math" w:hAnsi="Cambria Math"/>
                      <w:i/>
                      <w:sz w:val="20"/>
                    </w:rPr>
                  </m:ctrlPr>
                </m:dPr>
                <m:e>
                  <m:f>
                    <m:fPr>
                      <m:ctrlPr>
                        <w:rPr>
                          <w:rFonts w:ascii="Cambria Math" w:hAnsi="Cambria Math"/>
                          <w:i/>
                          <w:sz w:val="20"/>
                        </w:rPr>
                      </m:ctrlPr>
                    </m:fPr>
                    <m:num>
                      <m:r>
                        <m:rPr>
                          <m:nor/>
                        </m:rPr>
                        <w:rPr>
                          <w:rFonts w:ascii="Cambria Math" w:hAnsi="Cambria Math"/>
                          <w:sz w:val="20"/>
                        </w:rPr>
                        <m:t>(</m:t>
                      </m:r>
                      <m:r>
                        <m:rPr>
                          <m:sty m:val="p"/>
                        </m:rPr>
                        <w:rPr>
                          <w:rFonts w:ascii="Cambria Math" w:hAnsi="Cambria Math"/>
                          <w:sz w:val="18"/>
                          <w:szCs w:val="18"/>
                        </w:rPr>
                        <m:t>Generación de RSM</m:t>
                      </m:r>
                      <m:r>
                        <m:rPr>
                          <m:nor/>
                        </m:rPr>
                        <w:rPr>
                          <w:rFonts w:ascii="Cambria Math" w:hAnsi="Cambria Math"/>
                          <w:sz w:val="20"/>
                        </w:rPr>
                        <m:t xml:space="preserve">- </m:t>
                      </m:r>
                      <m:r>
                        <m:rPr>
                          <m:sty m:val="p"/>
                        </m:rPr>
                        <w:rPr>
                          <w:rFonts w:ascii="Cambria Math" w:hAnsi="Cambria Math"/>
                          <w:sz w:val="18"/>
                          <w:szCs w:val="18"/>
                        </w:rPr>
                        <m:t>Generación de RSM</m:t>
                      </m:r>
                      <m:r>
                        <m:rPr>
                          <m:nor/>
                        </m:rPr>
                        <w:rPr>
                          <w:rFonts w:ascii="Cambria Math" w:hAnsi="Cambria Math"/>
                          <w:sz w:val="20"/>
                        </w:rPr>
                        <m:t xml:space="preserve"> </m:t>
                      </m:r>
                      <m:r>
                        <m:rPr>
                          <m:nor/>
                        </m:rPr>
                        <w:rPr>
                          <w:rFonts w:ascii="Cambria Math" w:hAnsi="Cambria Math"/>
                          <w:i/>
                          <w:sz w:val="20"/>
                        </w:rPr>
                        <m:t>min</m:t>
                      </m:r>
                      <m:r>
                        <m:rPr>
                          <m:nor/>
                        </m:rPr>
                        <w:rPr>
                          <w:rFonts w:ascii="Cambria Math" w:hAnsi="Cambria Math"/>
                          <w:sz w:val="20"/>
                        </w:rPr>
                        <m:t>)</m:t>
                      </m:r>
                    </m:num>
                    <m:den>
                      <m:r>
                        <m:rPr>
                          <m:nor/>
                        </m:rPr>
                        <w:rPr>
                          <w:rFonts w:ascii="Cambria Math" w:hAnsi="Cambria Math"/>
                          <w:sz w:val="20"/>
                        </w:rPr>
                        <m:t>(</m:t>
                      </m:r>
                      <m:r>
                        <m:rPr>
                          <m:sty m:val="p"/>
                        </m:rPr>
                        <w:rPr>
                          <w:rFonts w:ascii="Cambria Math" w:hAnsi="Cambria Math"/>
                          <w:sz w:val="18"/>
                          <w:szCs w:val="18"/>
                        </w:rPr>
                        <m:t>Generación de RSM</m:t>
                      </m:r>
                      <m:r>
                        <m:rPr>
                          <m:nor/>
                        </m:rPr>
                        <w:rPr>
                          <w:rFonts w:ascii="Cambria Math" w:hAnsi="Cambria Math"/>
                          <w:sz w:val="20"/>
                        </w:rPr>
                        <m:t xml:space="preserve"> </m:t>
                      </m:r>
                      <m:r>
                        <w:rPr>
                          <w:rFonts w:ascii="Cambria Math" w:hAnsi="Cambria Math"/>
                          <w:sz w:val="20"/>
                        </w:rPr>
                        <m:t>max</m:t>
                      </m:r>
                      <m:r>
                        <m:rPr>
                          <m:nor/>
                        </m:rPr>
                        <w:rPr>
                          <w:rFonts w:ascii="Cambria Math" w:hAnsi="Cambria Math"/>
                          <w:sz w:val="20"/>
                        </w:rPr>
                        <m:t xml:space="preserve"> - </m:t>
                      </m:r>
                      <m:r>
                        <m:rPr>
                          <m:sty m:val="p"/>
                        </m:rPr>
                        <w:rPr>
                          <w:rFonts w:ascii="Cambria Math" w:hAnsi="Cambria Math"/>
                          <w:sz w:val="18"/>
                          <w:szCs w:val="18"/>
                        </w:rPr>
                        <m:t>Generación de RSM</m:t>
                      </m:r>
                      <m:r>
                        <m:rPr>
                          <m:nor/>
                        </m:rPr>
                        <w:rPr>
                          <w:rFonts w:ascii="Cambria Math" w:hAnsi="Cambria Math"/>
                          <w:sz w:val="20"/>
                        </w:rPr>
                        <m:t xml:space="preserve"> </m:t>
                      </m:r>
                      <m:r>
                        <m:rPr>
                          <m:nor/>
                        </m:rPr>
                        <w:rPr>
                          <w:rFonts w:ascii="Cambria Math" w:hAnsi="Cambria Math"/>
                          <w:i/>
                          <w:sz w:val="20"/>
                        </w:rPr>
                        <m:t>min</m:t>
                      </m:r>
                      <m:r>
                        <m:rPr>
                          <m:nor/>
                        </m:rPr>
                        <w:rPr>
                          <w:rFonts w:ascii="Cambria Math" w:hAnsi="Cambria Math"/>
                          <w:sz w:val="20"/>
                        </w:rPr>
                        <m:t>)</m:t>
                      </m:r>
                    </m:den>
                  </m:f>
                </m:e>
              </m:d>
            </m:e>
          </m:func>
        </m:oMath>
      </m:oMathPara>
    </w:p>
    <w:p w:rsidR="00B92CEF" w:rsidRDefault="00B92CEF" w:rsidP="00FB2B32"/>
    <w:p w:rsidR="00B92CEF" w:rsidRDefault="00B92CEF" w:rsidP="00F11AC9">
      <w:r>
        <w:t>Para elaborar el indicador se utilizaron los datos de SEMADES del año 2010, sobre la generación diaria de toneladas de residuos sólidos urbanos de cada municipio.</w:t>
      </w:r>
    </w:p>
    <w:p w:rsidR="00B92CEF" w:rsidRDefault="00B92CEF" w:rsidP="00AC32B1">
      <w:r>
        <w:t>Los resultados del indicador se plasmaron gráficamente en el ma</w:t>
      </w:r>
      <w:r w:rsidR="0081690E">
        <w:t xml:space="preserve">pa que se muestra en la </w:t>
      </w:r>
      <w:r w:rsidR="00991072">
        <w:fldChar w:fldCharType="begin"/>
      </w:r>
      <w:r w:rsidR="00991072">
        <w:instrText xml:space="preserve"> REF _Ref310606796 \h </w:instrText>
      </w:r>
      <w:r w:rsidR="00991072">
        <w:fldChar w:fldCharType="separate"/>
      </w:r>
      <w:r w:rsidR="00FA100B" w:rsidRPr="00A0142A">
        <w:t xml:space="preserve">Figura </w:t>
      </w:r>
      <w:r w:rsidR="00FA100B">
        <w:rPr>
          <w:noProof/>
        </w:rPr>
        <w:t>7</w:t>
      </w:r>
      <w:r w:rsidR="00991072">
        <w:fldChar w:fldCharType="end"/>
      </w:r>
      <w:r>
        <w:t xml:space="preserve">; en el cual se puede observar que los municipios que presentan mayor producción de residuos sólidos son los de la Zona Metropolitana de Guadalajara. </w:t>
      </w:r>
    </w:p>
    <w:p w:rsidR="00B92CEF" w:rsidRDefault="00BF1BD1" w:rsidP="00C8522A">
      <w:pPr>
        <w:jc w:val="center"/>
      </w:pPr>
      <w:r>
        <w:rPr>
          <w:noProof/>
          <w:lang w:eastAsia="es-MX"/>
        </w:rPr>
        <w:drawing>
          <wp:inline distT="0" distB="0" distL="0" distR="0" wp14:anchorId="7BB751A4" wp14:editId="42C401E8">
            <wp:extent cx="4467225" cy="3952875"/>
            <wp:effectExtent l="0" t="0" r="0" b="0"/>
            <wp:docPr id="6" name="Imagen 6" descr="generacion de residuos so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cion de residuos solidos"/>
                    <pic:cNvPicPr>
                      <a:picLocks noChangeAspect="1" noChangeArrowheads="1"/>
                    </pic:cNvPicPr>
                  </pic:nvPicPr>
                  <pic:blipFill>
                    <a:blip r:embed="rId15" cstate="print">
                      <a:extLst>
                        <a:ext uri="{28A0092B-C50C-407E-A947-70E740481C1C}">
                          <a14:useLocalDpi xmlns:a14="http://schemas.microsoft.com/office/drawing/2010/main" val="0"/>
                        </a:ext>
                      </a:extLst>
                    </a:blip>
                    <a:srcRect t="5875" r="17987" b="8533"/>
                    <a:stretch>
                      <a:fillRect/>
                    </a:stretch>
                  </pic:blipFill>
                  <pic:spPr bwMode="auto">
                    <a:xfrm>
                      <a:off x="0" y="0"/>
                      <a:ext cx="4467225" cy="3952875"/>
                    </a:xfrm>
                    <a:prstGeom prst="rect">
                      <a:avLst/>
                    </a:prstGeom>
                    <a:noFill/>
                    <a:ln>
                      <a:noFill/>
                    </a:ln>
                  </pic:spPr>
                </pic:pic>
              </a:graphicData>
            </a:graphic>
          </wp:inline>
        </w:drawing>
      </w:r>
    </w:p>
    <w:p w:rsidR="00B92CEF" w:rsidRPr="00A0142A" w:rsidRDefault="00B92CEF" w:rsidP="00A0142A">
      <w:pPr>
        <w:pStyle w:val="Epgrafe"/>
      </w:pPr>
      <w:bookmarkStart w:id="8" w:name="_Ref310606796"/>
      <w:r w:rsidRPr="00A0142A">
        <w:lastRenderedPageBreak/>
        <w:t xml:space="preserve">Figura </w:t>
      </w:r>
      <w:fldSimple w:instr=" SEQ Figura \* ARABIC ">
        <w:r w:rsidR="00E174C8">
          <w:rPr>
            <w:noProof/>
          </w:rPr>
          <w:t>7</w:t>
        </w:r>
      </w:fldSimple>
      <w:bookmarkEnd w:id="8"/>
      <w:r w:rsidRPr="00A0142A">
        <w:t>. Mapa del Indicador de Participación en Residuos Sólidos</w:t>
      </w:r>
    </w:p>
    <w:p w:rsidR="00991072" w:rsidRDefault="00991072" w:rsidP="00991072">
      <w:r>
        <w:t>Para la representación gráfica de este indicador, la escala de clasificación utilizada se encuentra a la inversa, debido a que es un indicador en sentido negativo, ya que hace referencia a la producción de residuos sólidos municipales, por lo tanto los municipios en color rojo son los que presentan mayor producción de residuos y los que están en color verde son los que presentan menor producción de residuos.</w:t>
      </w:r>
    </w:p>
    <w:p w:rsidR="002A6301" w:rsidRDefault="002A6301" w:rsidP="00822279">
      <w:pPr>
        <w:rPr>
          <w:b/>
          <w:bCs/>
          <w:iCs/>
          <w:u w:val="single"/>
        </w:rPr>
      </w:pPr>
    </w:p>
    <w:p w:rsidR="00C66F6E" w:rsidRPr="00C66F6E" w:rsidRDefault="00593B6F" w:rsidP="00822279">
      <w:pPr>
        <w:rPr>
          <w:b/>
          <w:bCs/>
          <w:iCs/>
          <w:u w:val="single"/>
        </w:rPr>
      </w:pPr>
      <w:r>
        <w:rPr>
          <w:b/>
          <w:bCs/>
          <w:iCs/>
          <w:u w:val="single"/>
        </w:rPr>
        <w:t xml:space="preserve">Tema </w:t>
      </w:r>
      <w:r w:rsidR="00C66F6E">
        <w:rPr>
          <w:b/>
          <w:bCs/>
          <w:iCs/>
          <w:u w:val="single"/>
        </w:rPr>
        <w:t>Recursos forestales</w:t>
      </w:r>
    </w:p>
    <w:p w:rsidR="00113B7E" w:rsidRDefault="00113B7E" w:rsidP="00113B7E">
      <w:r w:rsidRPr="00D44966">
        <w:rPr>
          <w:b/>
          <w:bCs/>
          <w:i/>
          <w:iCs/>
        </w:rPr>
        <w:t>Indicador</w:t>
      </w:r>
      <w:r w:rsidR="009615D5">
        <w:rPr>
          <w:b/>
          <w:bCs/>
          <w:i/>
          <w:iCs/>
        </w:rPr>
        <w:t xml:space="preserve"> </w:t>
      </w:r>
      <w:r w:rsidR="00B7155B">
        <w:rPr>
          <w:b/>
          <w:bCs/>
          <w:i/>
          <w:iCs/>
        </w:rPr>
        <w:t>D</w:t>
      </w:r>
      <w:r w:rsidRPr="00D44966">
        <w:rPr>
          <w:b/>
          <w:bCs/>
          <w:i/>
          <w:iCs/>
        </w:rPr>
        <w:t>eforestación.</w:t>
      </w:r>
    </w:p>
    <w:p w:rsidR="00113B7E" w:rsidRDefault="00113B7E" w:rsidP="000B420B">
      <w:r>
        <w:t xml:space="preserve">Este indicador se refiere </w:t>
      </w:r>
      <w:r w:rsidR="00846E08">
        <w:t>a</w:t>
      </w:r>
      <w:r>
        <w:t xml:space="preserve"> </w:t>
      </w:r>
      <w:r w:rsidR="00581D4C">
        <w:t xml:space="preserve">la </w:t>
      </w:r>
      <w:r w:rsidR="00B7155B">
        <w:t>deforestación</w:t>
      </w:r>
      <w:r w:rsidR="00581D4C">
        <w:t xml:space="preserve"> que han sufrido</w:t>
      </w:r>
      <w:r>
        <w:t xml:space="preserve"> </w:t>
      </w:r>
      <w:r w:rsidR="00581D4C">
        <w:t xml:space="preserve">los municipios </w:t>
      </w:r>
      <w:r w:rsidR="009615D5">
        <w:t>en un periodo de tiempo comprendido entre los años 1982 y 2007</w:t>
      </w:r>
      <w:r w:rsidR="000B420B">
        <w:t>. E</w:t>
      </w:r>
      <w:r>
        <w:t>l resultado</w:t>
      </w:r>
      <w:r w:rsidR="009615D5">
        <w:t xml:space="preserve"> del indicador </w:t>
      </w:r>
      <w:r>
        <w:t xml:space="preserve">se obtuvo calculando la razón que existe entre la superficie municipal </w:t>
      </w:r>
      <w:r w:rsidR="000B420B">
        <w:t>deforestada</w:t>
      </w:r>
      <w:r>
        <w:t xml:space="preserve"> entre la superficie total del municipio</w:t>
      </w:r>
    </w:p>
    <w:p w:rsidR="00E40AA3" w:rsidRDefault="00E40AA3" w:rsidP="000B420B"/>
    <w:p w:rsidR="00E40AA3" w:rsidRDefault="00C01027" w:rsidP="000B420B">
      <m:oMathPara>
        <m:oMath>
          <m:func>
            <m:funcPr>
              <m:ctrlPr>
                <w:rPr>
                  <w:rFonts w:ascii="Cambria Math" w:hAnsi="Cambria Math"/>
                  <w:i/>
                  <w:sz w:val="20"/>
                </w:rPr>
              </m:ctrlPr>
            </m:funcPr>
            <m:fName>
              <m:r>
                <w:rPr>
                  <w:rFonts w:ascii="Cambria Math" w:hAnsi="Cambria Math"/>
                  <w:sz w:val="20"/>
                </w:rPr>
                <m:t>Deforestación</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deforestada</m:t>
                  </m:r>
                </m:num>
                <m:den>
                  <m:r>
                    <m:rPr>
                      <m:sty m:val="p"/>
                    </m:rPr>
                    <w:rPr>
                      <w:rFonts w:ascii="Cambria Math" w:hAnsi="Cambria Math"/>
                      <w:sz w:val="20"/>
                    </w:rPr>
                    <m:t>Superficie del municipio</m:t>
                  </m:r>
                </m:den>
              </m:f>
            </m:e>
          </m:func>
        </m:oMath>
      </m:oMathPara>
    </w:p>
    <w:p w:rsidR="00E40AA3" w:rsidRDefault="00E40AA3" w:rsidP="00113B7E">
      <w:pPr>
        <w:jc w:val="center"/>
        <w:rPr>
          <w:i/>
          <w:iCs/>
          <w:sz w:val="18"/>
          <w:szCs w:val="18"/>
        </w:rPr>
      </w:pPr>
    </w:p>
    <w:p w:rsidR="00E40AA3" w:rsidRDefault="00E40AA3" w:rsidP="00E40AA3">
      <w:r>
        <w:t>Al valor obtenido se le aplicó la fórmula de normalización, modificada con la operación de complemento, debido a que es un indicador en sentido negativo</w:t>
      </w:r>
    </w:p>
    <w:p w:rsidR="00E40AA3" w:rsidRDefault="00E40AA3" w:rsidP="00E40AA3"/>
    <w:p w:rsidR="00E40AA3" w:rsidRDefault="00C01027" w:rsidP="00E40AA3">
      <m:oMathPara>
        <m:oMath>
          <m:func>
            <m:funcPr>
              <m:ctrlPr>
                <w:rPr>
                  <w:rFonts w:ascii="Cambria Math" w:hAnsi="Cambria Math"/>
                  <w:i/>
                  <w:sz w:val="20"/>
                </w:rPr>
              </m:ctrlPr>
            </m:funcPr>
            <m:fName>
              <m:r>
                <m:rPr>
                  <m:nor/>
                </m:rPr>
                <w:rPr>
                  <w:rFonts w:ascii="Cambria Math" w:hAnsi="Cambria Math"/>
                  <w:sz w:val="20"/>
                </w:rPr>
                <m:t xml:space="preserve"> </m:t>
              </m:r>
              <m:sSub>
                <m:sSubPr>
                  <m:ctrlPr>
                    <w:rPr>
                      <w:rFonts w:ascii="Cambria Math" w:hAnsi="Cambria Math"/>
                      <w:i/>
                      <w:sz w:val="20"/>
                    </w:rPr>
                  </m:ctrlPr>
                </m:sSubPr>
                <m:e>
                  <m:r>
                    <m:rPr>
                      <m:nor/>
                    </m:rPr>
                    <w:rPr>
                      <w:rFonts w:ascii="Cambria Math" w:hAnsi="Cambria Math"/>
                      <w:sz w:val="20"/>
                    </w:rPr>
                    <m:t>Deforestación</m:t>
                  </m:r>
                </m:e>
                <m:sub>
                  <m:r>
                    <m:rPr>
                      <m:nor/>
                    </m:rPr>
                    <w:rPr>
                      <w:rFonts w:ascii="Cambria Math" w:hAnsi="Cambria Math"/>
                      <w:i/>
                      <w:sz w:val="20"/>
                    </w:rPr>
                    <m:t>normalizado</m:t>
                  </m:r>
                </m:sub>
              </m:sSub>
              <m:r>
                <m:rPr>
                  <m:nor/>
                </m:rPr>
                <w:rPr>
                  <w:rFonts w:ascii="Cambria Math" w:hAnsi="Cambria Math"/>
                  <w:sz w:val="20"/>
                </w:rPr>
                <m:t>=</m:t>
              </m:r>
            </m:fName>
            <m:e>
              <m:r>
                <m:rPr>
                  <m:nor/>
                </m:rPr>
                <w:rPr>
                  <w:rFonts w:ascii="Cambria Math" w:hAnsi="Cambria Math"/>
                  <w:sz w:val="20"/>
                </w:rPr>
                <m:t>1-</m:t>
              </m:r>
              <m:d>
                <m:dPr>
                  <m:ctrlPr>
                    <w:rPr>
                      <w:rFonts w:ascii="Cambria Math" w:hAnsi="Cambria Math"/>
                      <w:i/>
                      <w:sz w:val="20"/>
                    </w:rPr>
                  </m:ctrlPr>
                </m:dPr>
                <m:e>
                  <m:f>
                    <m:fPr>
                      <m:ctrlPr>
                        <w:rPr>
                          <w:rFonts w:ascii="Cambria Math" w:hAnsi="Cambria Math"/>
                          <w:i/>
                          <w:sz w:val="20"/>
                        </w:rPr>
                      </m:ctrlPr>
                    </m:fPr>
                    <m:num>
                      <m:r>
                        <m:rPr>
                          <m:nor/>
                        </m:rPr>
                        <w:rPr>
                          <w:rFonts w:ascii="Cambria Math" w:hAnsi="Cambria Math"/>
                          <w:sz w:val="20"/>
                        </w:rPr>
                        <m:t xml:space="preserve">(Deforestación- Deforestación </m:t>
                      </m:r>
                      <m:r>
                        <m:rPr>
                          <m:nor/>
                        </m:rPr>
                        <w:rPr>
                          <w:rFonts w:ascii="Cambria Math" w:hAnsi="Cambria Math"/>
                          <w:i/>
                          <w:sz w:val="20"/>
                        </w:rPr>
                        <m:t>min</m:t>
                      </m:r>
                      <m:r>
                        <m:rPr>
                          <m:nor/>
                        </m:rPr>
                        <w:rPr>
                          <w:rFonts w:ascii="Cambria Math" w:hAnsi="Cambria Math"/>
                          <w:sz w:val="20"/>
                        </w:rPr>
                        <m:t>)</m:t>
                      </m:r>
                    </m:num>
                    <m:den>
                      <m:r>
                        <m:rPr>
                          <m:nor/>
                        </m:rPr>
                        <w:rPr>
                          <w:rFonts w:ascii="Cambria Math" w:hAnsi="Cambria Math"/>
                          <w:sz w:val="20"/>
                        </w:rPr>
                        <m:t xml:space="preserve">(Deforestación </m:t>
                      </m:r>
                      <m:r>
                        <w:rPr>
                          <w:rFonts w:ascii="Cambria Math" w:hAnsi="Cambria Math"/>
                          <w:sz w:val="20"/>
                        </w:rPr>
                        <m:t>max</m:t>
                      </m:r>
                      <m:r>
                        <m:rPr>
                          <m:nor/>
                        </m:rPr>
                        <w:rPr>
                          <w:rFonts w:ascii="Cambria Math" w:hAnsi="Cambria Math"/>
                          <w:sz w:val="20"/>
                        </w:rPr>
                        <m:t xml:space="preserve">- Deforestación </m:t>
                      </m:r>
                      <m:r>
                        <m:rPr>
                          <m:nor/>
                        </m:rPr>
                        <w:rPr>
                          <w:rFonts w:ascii="Cambria Math" w:hAnsi="Cambria Math"/>
                          <w:i/>
                          <w:sz w:val="20"/>
                        </w:rPr>
                        <m:t>min</m:t>
                      </m:r>
                      <m:r>
                        <m:rPr>
                          <m:nor/>
                        </m:rPr>
                        <w:rPr>
                          <w:rFonts w:ascii="Cambria Math" w:hAnsi="Cambria Math"/>
                          <w:sz w:val="20"/>
                        </w:rPr>
                        <m:t>)</m:t>
                      </m:r>
                    </m:den>
                  </m:f>
                </m:e>
              </m:d>
            </m:e>
          </m:func>
        </m:oMath>
      </m:oMathPara>
    </w:p>
    <w:p w:rsidR="00113B7E" w:rsidRDefault="00113B7E" w:rsidP="00113B7E"/>
    <w:p w:rsidR="000B420B" w:rsidRPr="00A0142A" w:rsidRDefault="00113B7E" w:rsidP="000B420B">
      <w:r>
        <w:t xml:space="preserve">Los datos utilizados para su elaboración fueron </w:t>
      </w:r>
      <w:r w:rsidR="000B420B" w:rsidRPr="00A0142A">
        <w:t xml:space="preserve">las coberturas en un formato vectorial de </w:t>
      </w:r>
      <w:r w:rsidR="00D44966" w:rsidRPr="00A0142A">
        <w:t xml:space="preserve">la Serie I del </w:t>
      </w:r>
      <w:r w:rsidR="000B420B" w:rsidRPr="00A0142A">
        <w:t>año 1982</w:t>
      </w:r>
      <w:r w:rsidR="00D44966" w:rsidRPr="00A0142A">
        <w:t xml:space="preserve"> </w:t>
      </w:r>
      <w:r w:rsidR="000B420B" w:rsidRPr="00A0142A">
        <w:t>y</w:t>
      </w:r>
      <w:r w:rsidR="00D44966" w:rsidRPr="00A0142A">
        <w:t xml:space="preserve"> de la Serie IV del año</w:t>
      </w:r>
      <w:r w:rsidR="000B420B" w:rsidRPr="00A0142A">
        <w:t xml:space="preserve"> 2007, a una escala de 1:250,000; de la cartografía temática de uso del suelo y vegetación de INEGI y CONAFOR.</w:t>
      </w:r>
    </w:p>
    <w:p w:rsidR="00113B7E" w:rsidRDefault="00113B7E" w:rsidP="00113B7E">
      <w:r>
        <w:t xml:space="preserve">Los resultados del indicador se plasmaron gráficamente en el mapa que se muestra en la </w:t>
      </w:r>
      <w:r w:rsidR="00E40AA3">
        <w:fldChar w:fldCharType="begin"/>
      </w:r>
      <w:r w:rsidR="00E40AA3">
        <w:instrText xml:space="preserve"> REF _Ref310607031 \h </w:instrText>
      </w:r>
      <w:r w:rsidR="00E40AA3">
        <w:fldChar w:fldCharType="separate"/>
      </w:r>
      <w:r w:rsidR="00FA100B" w:rsidRPr="00A0142A">
        <w:t xml:space="preserve">Figura </w:t>
      </w:r>
      <w:r w:rsidR="00FA100B">
        <w:rPr>
          <w:noProof/>
        </w:rPr>
        <w:t>8</w:t>
      </w:r>
      <w:r w:rsidR="00E40AA3">
        <w:fldChar w:fldCharType="end"/>
      </w:r>
      <w:r>
        <w:t xml:space="preserve">; en el cual se puede observar que los municipios que presentan mayor </w:t>
      </w:r>
      <w:r w:rsidR="000B420B">
        <w:t>deforestación son Acatic y Zapotlanejo, localizados en la región Altos Sur y Centro, respectivamente; así como municipios de las regiones Costa Norte, Costa Sur y Sureste</w:t>
      </w:r>
      <w:r>
        <w:t xml:space="preserve">. </w:t>
      </w:r>
    </w:p>
    <w:p w:rsidR="00113B7E" w:rsidRDefault="00BF1BD1" w:rsidP="00113B7E">
      <w:pPr>
        <w:jc w:val="center"/>
      </w:pPr>
      <w:r>
        <w:rPr>
          <w:noProof/>
          <w:lang w:eastAsia="es-MX"/>
        </w:rPr>
        <w:lastRenderedPageBreak/>
        <w:drawing>
          <wp:inline distT="0" distB="0" distL="0" distR="0" wp14:anchorId="7489E863" wp14:editId="69A50643">
            <wp:extent cx="4886325" cy="3952875"/>
            <wp:effectExtent l="0" t="0" r="0" b="0"/>
            <wp:docPr id="8" name="Imagen 8" descr="defores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forest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6430" r="10429" b="8217"/>
                    <a:stretch>
                      <a:fillRect/>
                    </a:stretch>
                  </pic:blipFill>
                  <pic:spPr bwMode="auto">
                    <a:xfrm>
                      <a:off x="0" y="0"/>
                      <a:ext cx="4886325" cy="3952875"/>
                    </a:xfrm>
                    <a:prstGeom prst="rect">
                      <a:avLst/>
                    </a:prstGeom>
                    <a:noFill/>
                    <a:ln>
                      <a:noFill/>
                    </a:ln>
                  </pic:spPr>
                </pic:pic>
              </a:graphicData>
            </a:graphic>
          </wp:inline>
        </w:drawing>
      </w:r>
    </w:p>
    <w:p w:rsidR="00113B7E" w:rsidRPr="00A0142A" w:rsidRDefault="00113B7E" w:rsidP="00A0142A">
      <w:pPr>
        <w:pStyle w:val="Epgrafe"/>
      </w:pPr>
      <w:bookmarkStart w:id="9" w:name="_Ref310607031"/>
      <w:r w:rsidRPr="00A0142A">
        <w:t xml:space="preserve">Figura </w:t>
      </w:r>
      <w:fldSimple w:instr=" SEQ Figura \* ARABIC ">
        <w:r w:rsidR="00E174C8">
          <w:rPr>
            <w:noProof/>
          </w:rPr>
          <w:t>8</w:t>
        </w:r>
      </w:fldSimple>
      <w:bookmarkEnd w:id="9"/>
      <w:r w:rsidRPr="00A0142A">
        <w:t xml:space="preserve">. </w:t>
      </w:r>
      <w:r w:rsidR="008F5CDE" w:rsidRPr="00A0142A">
        <w:t xml:space="preserve">Mapa del </w:t>
      </w:r>
      <w:r w:rsidRPr="00A0142A">
        <w:t>Indicador de Deforestación</w:t>
      </w:r>
    </w:p>
    <w:p w:rsidR="00E40AA3" w:rsidRDefault="00E40AA3" w:rsidP="00E40AA3">
      <w:r>
        <w:t>Para la representación gráfica de este indicador, la escala de clasificación utilizada se encuentra a la inversa, debido a que es un indicador en sentido negativo, ya que hace referencia a la superficie deforestada, por lo tanto los municipios en color rojo son los que presentan mayor deforestación y los que están en color verde son los que presentan menor deforestación.</w:t>
      </w:r>
    </w:p>
    <w:p w:rsidR="00C66F6E" w:rsidRDefault="00C66F6E" w:rsidP="00C66F6E">
      <w:pPr>
        <w:rPr>
          <w:b/>
          <w:bCs/>
          <w:i/>
          <w:iCs/>
        </w:rPr>
      </w:pPr>
      <w:r w:rsidRPr="00A510ED">
        <w:rPr>
          <w:b/>
          <w:bCs/>
          <w:i/>
          <w:iCs/>
        </w:rPr>
        <w:t>Indicador de Cobertura Forestal.</w:t>
      </w:r>
    </w:p>
    <w:p w:rsidR="00C66F6E" w:rsidRDefault="00C66F6E" w:rsidP="00C66F6E">
      <w:r>
        <w:t>E</w:t>
      </w:r>
      <w:r w:rsidR="00A510ED">
        <w:t xml:space="preserve">ste </w:t>
      </w:r>
      <w:r>
        <w:t>indicador se refiere a la superficie de cada municipio que, de acuerdo a la clasificación de INEGI, presenta una cobertura vegetal compuesta por bosques, selvas, matorra</w:t>
      </w:r>
      <w:r w:rsidR="00A510ED">
        <w:t>les y otros tipos de vegetación. El resultado</w:t>
      </w:r>
      <w:r>
        <w:t xml:space="preserve"> se obtuvo de la razón que existe entre la superficie forestal y la superficie municipal</w:t>
      </w:r>
    </w:p>
    <w:p w:rsidR="00A510ED" w:rsidRPr="00C17BBF" w:rsidRDefault="00C01027" w:rsidP="00C66F6E">
      <m:oMathPara>
        <m:oMath>
          <m:func>
            <m:funcPr>
              <m:ctrlPr>
                <w:rPr>
                  <w:rFonts w:ascii="Cambria Math" w:hAnsi="Cambria Math"/>
                  <w:i/>
                  <w:sz w:val="20"/>
                </w:rPr>
              </m:ctrlPr>
            </m:funcPr>
            <m:fName>
              <m:r>
                <w:rPr>
                  <w:rFonts w:ascii="Cambria Math" w:hAnsi="Cambria Math"/>
                  <w:sz w:val="20"/>
                </w:rPr>
                <m:t>Cobertura forestal</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con vegetación forestal</m:t>
                  </m:r>
                </m:num>
                <m:den>
                  <m:r>
                    <m:rPr>
                      <m:sty m:val="p"/>
                    </m:rPr>
                    <w:rPr>
                      <w:rFonts w:ascii="Cambria Math" w:hAnsi="Cambria Math"/>
                      <w:sz w:val="20"/>
                    </w:rPr>
                    <m:t>Superficie municipal</m:t>
                  </m:r>
                </m:den>
              </m:f>
            </m:e>
          </m:func>
        </m:oMath>
      </m:oMathPara>
    </w:p>
    <w:p w:rsidR="00A510ED" w:rsidRDefault="00A510ED" w:rsidP="00C66F6E"/>
    <w:p w:rsidR="00A510ED" w:rsidRDefault="00A510ED" w:rsidP="00A510ED">
      <w:r>
        <w:t xml:space="preserve">Al valor obtenido se le aplicó la fórmula de normalización </w:t>
      </w:r>
    </w:p>
    <w:p w:rsidR="00A510ED" w:rsidRDefault="00A510ED" w:rsidP="00A510ED"/>
    <w:p w:rsidR="00A510ED" w:rsidRDefault="00C01027" w:rsidP="00A510ED">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Cobertura forestal</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Cobertura forestal</m:t>
                      </m:r>
                      <m:r>
                        <w:rPr>
                          <w:rFonts w:ascii="Cambria Math" w:hAnsi="Cambria Math"/>
                          <w:sz w:val="20"/>
                        </w:rPr>
                        <m:t>-</m:t>
                      </m:r>
                      <m:r>
                        <m:rPr>
                          <m:sty m:val="p"/>
                        </m:rPr>
                        <w:rPr>
                          <w:rFonts w:ascii="Cambria Math" w:hAnsi="Cambria Math"/>
                          <w:sz w:val="20"/>
                        </w:rPr>
                        <m:t xml:space="preserve"> Cobertura forestal</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Cobertura forestal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Cobertura forestal </m:t>
                      </m:r>
                      <m:r>
                        <w:rPr>
                          <w:rFonts w:ascii="Cambria Math" w:hAnsi="Cambria Math"/>
                          <w:sz w:val="20"/>
                        </w:rPr>
                        <m:t>min)</m:t>
                      </m:r>
                    </m:den>
                  </m:f>
                </m:e>
              </m:d>
            </m:e>
          </m:func>
        </m:oMath>
      </m:oMathPara>
    </w:p>
    <w:p w:rsidR="00A510ED" w:rsidRDefault="00A510ED" w:rsidP="00A510ED"/>
    <w:p w:rsidR="00C66F6E" w:rsidRDefault="00C66F6E" w:rsidP="00C66F6E">
      <w:r>
        <w:t xml:space="preserve">Los datos de cobertura vegetal utilizados para el cálculo del indicador, fueron los elaborados por INEGI en el 2007 que corresponden a la Carta de Uso de Suelo y Vegetación, de la serie 4 escala 1:250,000; así como los Límites municipales del Estado de Jalisco 2008 (publicado en el periódico Oficial El Estado de Jalisco el 7 de febrero de 2009). </w:t>
      </w:r>
    </w:p>
    <w:p w:rsidR="00C66F6E" w:rsidRDefault="00C66F6E" w:rsidP="00C66F6E">
      <w:r>
        <w:lastRenderedPageBreak/>
        <w:t xml:space="preserve">Los resultados del indicador se plasmaron gráficamente en el mapa que se muestra en la </w:t>
      </w:r>
      <w:r w:rsidR="00A510ED">
        <w:fldChar w:fldCharType="begin"/>
      </w:r>
      <w:r w:rsidR="00A510ED">
        <w:instrText xml:space="preserve"> REF _Ref310849706 \h </w:instrText>
      </w:r>
      <w:r w:rsidR="00A510ED">
        <w:fldChar w:fldCharType="separate"/>
      </w:r>
      <w:r w:rsidR="00FA100B" w:rsidRPr="00A0142A">
        <w:t xml:space="preserve">Figura </w:t>
      </w:r>
      <w:r w:rsidR="00FA100B">
        <w:rPr>
          <w:noProof/>
        </w:rPr>
        <w:t>9</w:t>
      </w:r>
      <w:r w:rsidR="00A510ED">
        <w:fldChar w:fldCharType="end"/>
      </w:r>
      <w:r>
        <w:t xml:space="preserve">; en el cual se puede observar que los municipios que presentan mayor superficie forestal, están localizados en las regiones: Costa Sur, Costa Norte, Sierra Occidental, Norte y Sureste. </w:t>
      </w:r>
    </w:p>
    <w:p w:rsidR="00C66F6E" w:rsidRDefault="0008347A" w:rsidP="00C66F6E">
      <w:pPr>
        <w:keepNext/>
        <w:jc w:val="center"/>
      </w:pPr>
      <w:r>
        <w:rPr>
          <w:noProof/>
          <w:lang w:eastAsia="es-MX"/>
        </w:rPr>
        <w:drawing>
          <wp:inline distT="0" distB="0" distL="0" distR="0" wp14:anchorId="7AEE328B" wp14:editId="1F160884">
            <wp:extent cx="5066846" cy="3952800"/>
            <wp:effectExtent l="0" t="0" r="635" b="0"/>
            <wp:docPr id="13" name="Imagen 13" descr="D:\Miros\Indicadores\Mapas\superficie fores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ros\Indicadores\Mapas\superficie forestal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750" r="1445" b="1702"/>
                    <a:stretch/>
                  </pic:blipFill>
                  <pic:spPr bwMode="auto">
                    <a:xfrm>
                      <a:off x="0" y="0"/>
                      <a:ext cx="5066846"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C66F6E" w:rsidRPr="00A0142A" w:rsidRDefault="00C66F6E" w:rsidP="00A0142A">
      <w:pPr>
        <w:pStyle w:val="Epgrafe"/>
      </w:pPr>
      <w:bookmarkStart w:id="10" w:name="_Ref310849706"/>
      <w:r w:rsidRPr="00A0142A">
        <w:t xml:space="preserve">Figura </w:t>
      </w:r>
      <w:fldSimple w:instr=" SEQ Figura \* ARABIC ">
        <w:r w:rsidR="00E174C8">
          <w:rPr>
            <w:noProof/>
          </w:rPr>
          <w:t>9</w:t>
        </w:r>
      </w:fldSimple>
      <w:bookmarkEnd w:id="10"/>
      <w:r w:rsidRPr="00A0142A">
        <w:t>. Mapa del Indicador de Cobertura Forestal</w:t>
      </w:r>
    </w:p>
    <w:p w:rsidR="00C66F6E" w:rsidRDefault="00C66F6E" w:rsidP="00C66F6E">
      <w:pPr>
        <w:rPr>
          <w:b/>
          <w:bCs/>
          <w:i/>
          <w:iCs/>
        </w:rPr>
      </w:pPr>
    </w:p>
    <w:p w:rsidR="00C66F6E" w:rsidRDefault="00C66F6E" w:rsidP="00C66F6E">
      <w:r w:rsidRPr="00D44966">
        <w:rPr>
          <w:b/>
          <w:bCs/>
          <w:i/>
          <w:iCs/>
        </w:rPr>
        <w:t>Indicador</w:t>
      </w:r>
      <w:r>
        <w:rPr>
          <w:b/>
          <w:bCs/>
          <w:i/>
          <w:iCs/>
        </w:rPr>
        <w:t xml:space="preserve"> Recuperación</w:t>
      </w:r>
      <w:r w:rsidRPr="00D44966">
        <w:rPr>
          <w:b/>
          <w:bCs/>
          <w:i/>
          <w:iCs/>
        </w:rPr>
        <w:t>.</w:t>
      </w:r>
    </w:p>
    <w:p w:rsidR="00C66F6E" w:rsidRDefault="00C66F6E" w:rsidP="00C66F6E">
      <w:r>
        <w:t>Este indicador se refiere a la recuperación</w:t>
      </w:r>
      <w:r w:rsidR="00A510ED">
        <w:t xml:space="preserve"> de la vegetación</w:t>
      </w:r>
      <w:r>
        <w:t xml:space="preserve"> que han sufrido los municipios en un periodo de tiempo comprendido entre los años 1982 y 2007. El resultado se obtuvo calculando la razón que existe entre la superficie municipal recuperada entre la superficie total del municipio</w:t>
      </w:r>
    </w:p>
    <w:p w:rsidR="00A510ED" w:rsidRDefault="00A510ED" w:rsidP="00C66F6E"/>
    <w:p w:rsidR="00A510ED" w:rsidRDefault="00C01027" w:rsidP="00C66F6E">
      <m:oMathPara>
        <m:oMath>
          <m:func>
            <m:funcPr>
              <m:ctrlPr>
                <w:rPr>
                  <w:rFonts w:ascii="Cambria Math" w:hAnsi="Cambria Math"/>
                  <w:i/>
                  <w:sz w:val="20"/>
                </w:rPr>
              </m:ctrlPr>
            </m:funcPr>
            <m:fName>
              <m:r>
                <w:rPr>
                  <w:rFonts w:ascii="Cambria Math" w:hAnsi="Cambria Math"/>
                  <w:sz w:val="20"/>
                </w:rPr>
                <m:t>Recuperación</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recuperada</m:t>
                  </m:r>
                </m:num>
                <m:den>
                  <m:r>
                    <m:rPr>
                      <m:sty m:val="p"/>
                    </m:rPr>
                    <w:rPr>
                      <w:rFonts w:ascii="Cambria Math" w:hAnsi="Cambria Math"/>
                      <w:sz w:val="20"/>
                    </w:rPr>
                    <m:t>Superficie del municipio</m:t>
                  </m:r>
                </m:den>
              </m:f>
            </m:e>
          </m:func>
        </m:oMath>
      </m:oMathPara>
    </w:p>
    <w:p w:rsidR="00A510ED" w:rsidRDefault="00A510ED" w:rsidP="0008347A"/>
    <w:p w:rsidR="00A510ED" w:rsidRDefault="00A510ED" w:rsidP="00A510ED">
      <w:r>
        <w:t xml:space="preserve">Al valor obtenido se le aplicó la fórmula de normalización </w:t>
      </w:r>
    </w:p>
    <w:p w:rsidR="00A510ED" w:rsidRDefault="00A510ED" w:rsidP="00A510ED"/>
    <w:p w:rsidR="00A510ED" w:rsidRDefault="00C01027" w:rsidP="00A510ED">
      <m:oMathPara>
        <m:oMath>
          <m:func>
            <m:funcPr>
              <m:ctrlPr>
                <w:rPr>
                  <w:rFonts w:ascii="Cambria Math" w:hAnsi="Cambria Math"/>
                  <w:i/>
                  <w:sz w:val="20"/>
                </w:rPr>
              </m:ctrlPr>
            </m:funcPr>
            <m:fName>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Recuperación</m:t>
                  </m:r>
                </m:e>
                <m:sub>
                  <m:r>
                    <w:rPr>
                      <w:rFonts w:ascii="Cambria Math" w:hAnsi="Cambria Math"/>
                      <w:sz w:val="20"/>
                    </w:rPr>
                    <m:t>normalizado</m:t>
                  </m:r>
                </m:sub>
              </m:sSub>
              <m:r>
                <w:rPr>
                  <w:rFonts w:ascii="Cambria Math" w:hAnsi="Cambria Math"/>
                  <w:sz w:val="20"/>
                </w:rPr>
                <m:t>=</m:t>
              </m:r>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m:t>
                      </m:r>
                      <m:r>
                        <m:rPr>
                          <m:sty m:val="p"/>
                        </m:rPr>
                        <w:rPr>
                          <w:rFonts w:ascii="Cambria Math" w:hAnsi="Cambria Math"/>
                          <w:sz w:val="20"/>
                        </w:rPr>
                        <m:t>Recuperación</m:t>
                      </m:r>
                      <m:r>
                        <w:rPr>
                          <w:rFonts w:ascii="Cambria Math" w:hAnsi="Cambria Math"/>
                          <w:sz w:val="20"/>
                        </w:rPr>
                        <m:t>-</m:t>
                      </m:r>
                      <m:r>
                        <m:rPr>
                          <m:sty m:val="p"/>
                        </m:rPr>
                        <w:rPr>
                          <w:rFonts w:ascii="Cambria Math" w:hAnsi="Cambria Math"/>
                          <w:sz w:val="20"/>
                        </w:rPr>
                        <m:t xml:space="preserve"> Recuperación</m:t>
                      </m:r>
                      <m:r>
                        <w:rPr>
                          <w:rFonts w:ascii="Cambria Math" w:hAnsi="Cambria Math"/>
                          <w:sz w:val="20"/>
                        </w:rPr>
                        <m:t xml:space="preserve"> min)</m:t>
                      </m:r>
                    </m:num>
                    <m:den>
                      <m:r>
                        <w:rPr>
                          <w:rFonts w:ascii="Cambria Math" w:hAnsi="Cambria Math"/>
                          <w:sz w:val="20"/>
                        </w:rPr>
                        <m:t>(</m:t>
                      </m:r>
                      <m:r>
                        <m:rPr>
                          <m:sty m:val="p"/>
                        </m:rPr>
                        <w:rPr>
                          <w:rFonts w:ascii="Cambria Math" w:hAnsi="Cambria Math"/>
                          <w:sz w:val="20"/>
                        </w:rPr>
                        <m:t xml:space="preserve">Recuperación </m:t>
                      </m:r>
                      <m:r>
                        <w:rPr>
                          <w:rFonts w:ascii="Cambria Math" w:hAnsi="Cambria Math"/>
                          <w:sz w:val="20"/>
                        </w:rPr>
                        <m:t>max</m:t>
                      </m:r>
                      <m:r>
                        <m:rPr>
                          <m:sty m:val="p"/>
                        </m:rPr>
                        <w:rPr>
                          <w:rFonts w:ascii="Cambria Math" w:hAnsi="Cambria Math"/>
                          <w:sz w:val="20"/>
                        </w:rPr>
                        <m:t xml:space="preserve"> </m:t>
                      </m:r>
                      <m:r>
                        <w:rPr>
                          <w:rFonts w:ascii="Cambria Math" w:hAnsi="Cambria Math"/>
                          <w:sz w:val="20"/>
                        </w:rPr>
                        <m:t>-</m:t>
                      </m:r>
                      <m:r>
                        <m:rPr>
                          <m:sty m:val="p"/>
                        </m:rPr>
                        <w:rPr>
                          <w:rFonts w:ascii="Cambria Math" w:hAnsi="Cambria Math"/>
                          <w:sz w:val="20"/>
                        </w:rPr>
                        <m:t xml:space="preserve"> Recuperación </m:t>
                      </m:r>
                      <m:r>
                        <w:rPr>
                          <w:rFonts w:ascii="Cambria Math" w:hAnsi="Cambria Math"/>
                          <w:sz w:val="20"/>
                        </w:rPr>
                        <m:t>min)</m:t>
                      </m:r>
                    </m:den>
                  </m:f>
                </m:e>
              </m:d>
            </m:e>
          </m:func>
        </m:oMath>
      </m:oMathPara>
    </w:p>
    <w:p w:rsidR="00A510ED" w:rsidRDefault="00A510ED" w:rsidP="00A510ED"/>
    <w:p w:rsidR="00C66F6E" w:rsidRPr="00A0142A" w:rsidRDefault="00C66F6E" w:rsidP="00C66F6E">
      <w:r>
        <w:t xml:space="preserve">Los datos utilizados para su elaboración fueron </w:t>
      </w:r>
      <w:r w:rsidRPr="00A0142A">
        <w:t>las coberturas en un formato vectorial de la Serie I del año 1982 y de la Serie IV del año 2007, a una escala de 1:250,000; de la cartografía temática de uso del suelo y vegetación de INEGI y CONAFOR.</w:t>
      </w:r>
    </w:p>
    <w:p w:rsidR="00C66F6E" w:rsidRDefault="00C66F6E" w:rsidP="00C66F6E">
      <w:r>
        <w:lastRenderedPageBreak/>
        <w:t xml:space="preserve">Los resultados del indicador se plasmaron gráficamente en el mapa que se muestra en la </w:t>
      </w:r>
      <w:r w:rsidR="00A510ED">
        <w:fldChar w:fldCharType="begin"/>
      </w:r>
      <w:r w:rsidR="00A510ED">
        <w:instrText xml:space="preserve"> REF _Ref310849932 \h </w:instrText>
      </w:r>
      <w:r w:rsidR="00A510ED">
        <w:fldChar w:fldCharType="separate"/>
      </w:r>
      <w:r w:rsidR="00FA100B" w:rsidRPr="00A0142A">
        <w:t xml:space="preserve">Figura </w:t>
      </w:r>
      <w:r w:rsidR="00FA100B">
        <w:rPr>
          <w:noProof/>
        </w:rPr>
        <w:t>10</w:t>
      </w:r>
      <w:r w:rsidR="00A510ED">
        <w:fldChar w:fldCharType="end"/>
      </w:r>
      <w:r>
        <w:t xml:space="preserve">; en el cual se puede observar que los municipios que presentan mayor </w:t>
      </w:r>
      <w:r w:rsidR="0008347A">
        <w:t>recuper</w:t>
      </w:r>
      <w:r>
        <w:t xml:space="preserve">ación son </w:t>
      </w:r>
      <w:r w:rsidR="0008347A">
        <w:t xml:space="preserve">Atoyac, </w:t>
      </w:r>
      <w:r w:rsidR="00001457">
        <w:t>Hostotipaquillo</w:t>
      </w:r>
      <w:r w:rsidR="0008347A">
        <w:t xml:space="preserve"> y Tonaya</w:t>
      </w:r>
      <w:r>
        <w:t xml:space="preserve">; así como municipios de las regiones </w:t>
      </w:r>
      <w:r w:rsidR="00001457">
        <w:t xml:space="preserve">Altos Sur, </w:t>
      </w:r>
      <w:r>
        <w:t>Costa Sur</w:t>
      </w:r>
      <w:r w:rsidR="00001457">
        <w:t>, Norte, Sierra de Amula, Sierra Occidental, Sur</w:t>
      </w:r>
      <w:r>
        <w:t xml:space="preserve"> y Sureste. </w:t>
      </w:r>
    </w:p>
    <w:p w:rsidR="00C66F6E" w:rsidRDefault="00C66F6E" w:rsidP="00C66F6E">
      <w:pPr>
        <w:jc w:val="center"/>
      </w:pPr>
      <w:r>
        <w:rPr>
          <w:noProof/>
          <w:lang w:eastAsia="es-MX"/>
        </w:rPr>
        <w:drawing>
          <wp:inline distT="0" distB="0" distL="0" distR="0" wp14:anchorId="2B5179C2" wp14:editId="6FB8DE17">
            <wp:extent cx="4866298" cy="3952800"/>
            <wp:effectExtent l="0" t="0" r="0" b="0"/>
            <wp:docPr id="12" name="Imagen 12" descr="D:\Miros\Indicadores\Mapas\recupe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ros\Indicadores\Mapas\recuperaci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73" r="8507" b="5104"/>
                    <a:stretch/>
                  </pic:blipFill>
                  <pic:spPr bwMode="auto">
                    <a:xfrm>
                      <a:off x="0" y="0"/>
                      <a:ext cx="4866298"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C66F6E" w:rsidRPr="00A0142A" w:rsidRDefault="00C66F6E" w:rsidP="00A0142A">
      <w:pPr>
        <w:pStyle w:val="Epgrafe"/>
      </w:pPr>
      <w:bookmarkStart w:id="11" w:name="_Ref310849932"/>
      <w:r w:rsidRPr="00A0142A">
        <w:t xml:space="preserve">Figura </w:t>
      </w:r>
      <w:fldSimple w:instr=" SEQ Figura \* ARABIC ">
        <w:r w:rsidR="00E174C8">
          <w:rPr>
            <w:noProof/>
          </w:rPr>
          <w:t>10</w:t>
        </w:r>
      </w:fldSimple>
      <w:bookmarkEnd w:id="11"/>
      <w:r w:rsidRPr="00A0142A">
        <w:t xml:space="preserve">. Mapa del Indicador de </w:t>
      </w:r>
      <w:r w:rsidR="0008347A" w:rsidRPr="00A0142A">
        <w:t>Recuper</w:t>
      </w:r>
      <w:r w:rsidRPr="00A0142A">
        <w:t>ación</w:t>
      </w:r>
    </w:p>
    <w:p w:rsidR="00C66F6E" w:rsidRDefault="00C66F6E" w:rsidP="00550643">
      <w:pPr>
        <w:rPr>
          <w:b/>
          <w:bCs/>
          <w:i/>
          <w:iCs/>
        </w:rPr>
      </w:pPr>
    </w:p>
    <w:p w:rsidR="00C66F6E" w:rsidRPr="00C66F6E" w:rsidRDefault="00593B6F" w:rsidP="00550643">
      <w:pPr>
        <w:rPr>
          <w:b/>
          <w:bCs/>
          <w:iCs/>
          <w:u w:val="single"/>
        </w:rPr>
      </w:pPr>
      <w:r>
        <w:rPr>
          <w:b/>
          <w:bCs/>
          <w:iCs/>
          <w:u w:val="single"/>
        </w:rPr>
        <w:t xml:space="preserve">Tema </w:t>
      </w:r>
      <w:r w:rsidR="00C66F6E">
        <w:rPr>
          <w:b/>
          <w:bCs/>
          <w:iCs/>
          <w:u w:val="single"/>
        </w:rPr>
        <w:t>Suelos</w:t>
      </w:r>
    </w:p>
    <w:p w:rsidR="00B92CEF" w:rsidRDefault="00B92CEF" w:rsidP="00550643">
      <w:r>
        <w:rPr>
          <w:b/>
          <w:bCs/>
          <w:i/>
          <w:iCs/>
        </w:rPr>
        <w:t>Indicador Riesgo de Erosión.</w:t>
      </w:r>
    </w:p>
    <w:p w:rsidR="00B92CEF" w:rsidRDefault="00B92CEF" w:rsidP="00F11AC9">
      <w:r>
        <w:t>Este indicador se refiere a la superficie del municipio que presenta riesgo de erosión con respecto a su superficie total; el resultado se obtuvo calculando la razón que existe entre la superficie municipal con riesgo de erosión entre la superficie total del municipio</w:t>
      </w:r>
    </w:p>
    <w:p w:rsidR="00DB2960" w:rsidRDefault="00DB2960" w:rsidP="00F11AC9"/>
    <w:p w:rsidR="00DB2960" w:rsidRDefault="00C01027" w:rsidP="00F11AC9">
      <m:oMathPara>
        <m:oMath>
          <m:func>
            <m:funcPr>
              <m:ctrlPr>
                <w:rPr>
                  <w:rFonts w:ascii="Cambria Math" w:hAnsi="Cambria Math"/>
                  <w:i/>
                  <w:sz w:val="20"/>
                </w:rPr>
              </m:ctrlPr>
            </m:funcPr>
            <m:fName>
              <m:r>
                <w:rPr>
                  <w:rFonts w:ascii="Cambria Math" w:hAnsi="Cambria Math"/>
                  <w:sz w:val="20"/>
                </w:rPr>
                <m:t>Riesgo de e</m:t>
              </m:r>
              <m:r>
                <w:rPr>
                  <w:rFonts w:ascii="Cambria Math" w:hAnsi="Cambria Math"/>
                  <w:sz w:val="20"/>
                </w:rPr>
                <m:t>rosión</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20"/>
                    </w:rPr>
                    <m:t>Superficie con riesgo de erosión</m:t>
                  </m:r>
                </m:num>
                <m:den>
                  <m:r>
                    <m:rPr>
                      <m:sty m:val="p"/>
                    </m:rPr>
                    <w:rPr>
                      <w:rFonts w:ascii="Cambria Math" w:hAnsi="Cambria Math"/>
                      <w:sz w:val="20"/>
                    </w:rPr>
                    <m:t>Superficie del municipio</m:t>
                  </m:r>
                </m:den>
              </m:f>
            </m:e>
          </m:func>
        </m:oMath>
      </m:oMathPara>
    </w:p>
    <w:p w:rsidR="00B92CEF" w:rsidRPr="00272A7A" w:rsidRDefault="00B92CEF" w:rsidP="005A236C">
      <w:pPr>
        <w:jc w:val="center"/>
        <w:rPr>
          <w:i/>
          <w:iCs/>
          <w:sz w:val="18"/>
          <w:szCs w:val="18"/>
        </w:rPr>
      </w:pPr>
    </w:p>
    <w:p w:rsidR="00DB2960" w:rsidRDefault="00DB2960" w:rsidP="00DB2960">
      <w:r>
        <w:t>Al valor obtenido se le aplicó la fórmula de normalización, modificada con la operación de complemento, debido a que es un indicador en sentido negativo</w:t>
      </w:r>
    </w:p>
    <w:p w:rsidR="00DB2960" w:rsidRDefault="00DB2960" w:rsidP="00DB2960"/>
    <w:p w:rsidR="00DB2960" w:rsidRDefault="00C01027" w:rsidP="00DB2960">
      <m:oMathPara>
        <m:oMath>
          <m:func>
            <m:funcPr>
              <m:ctrlPr>
                <w:rPr>
                  <w:rFonts w:ascii="Cambria Math" w:hAnsi="Cambria Math"/>
                  <w:i/>
                  <w:sz w:val="20"/>
                </w:rPr>
              </m:ctrlPr>
            </m:funcPr>
            <m:fName>
              <m:r>
                <m:rPr>
                  <m:nor/>
                </m:rPr>
                <w:rPr>
                  <w:rFonts w:ascii="Cambria Math" w:hAnsi="Cambria Math"/>
                  <w:sz w:val="20"/>
                </w:rPr>
                <m:t xml:space="preserve"> </m:t>
              </m:r>
              <m:sSub>
                <m:sSubPr>
                  <m:ctrlPr>
                    <w:rPr>
                      <w:rFonts w:ascii="Cambria Math" w:hAnsi="Cambria Math"/>
                      <w:i/>
                      <w:sz w:val="20"/>
                    </w:rPr>
                  </m:ctrlPr>
                </m:sSubPr>
                <m:e>
                  <m:r>
                    <m:rPr>
                      <m:nor/>
                    </m:rPr>
                    <w:rPr>
                      <w:rFonts w:ascii="Cambria Math" w:hAnsi="Cambria Math"/>
                      <w:sz w:val="20"/>
                    </w:rPr>
                    <m:t>Riesgo de erosión</m:t>
                  </m:r>
                </m:e>
                <m:sub>
                  <m:r>
                    <m:rPr>
                      <m:nor/>
                    </m:rPr>
                    <w:rPr>
                      <w:rFonts w:ascii="Cambria Math" w:hAnsi="Cambria Math"/>
                      <w:i/>
                      <w:sz w:val="20"/>
                    </w:rPr>
                    <m:t>normalizado</m:t>
                  </m:r>
                </m:sub>
              </m:sSub>
              <m:r>
                <m:rPr>
                  <m:nor/>
                </m:rPr>
                <w:rPr>
                  <w:rFonts w:ascii="Cambria Math" w:hAnsi="Cambria Math"/>
                  <w:sz w:val="20"/>
                </w:rPr>
                <m:t>=</m:t>
              </m:r>
            </m:fName>
            <m:e>
              <m:r>
                <m:rPr>
                  <m:nor/>
                </m:rPr>
                <w:rPr>
                  <w:rFonts w:ascii="Cambria Math" w:hAnsi="Cambria Math"/>
                  <w:sz w:val="20"/>
                </w:rPr>
                <m:t>1-</m:t>
              </m:r>
              <m:d>
                <m:dPr>
                  <m:ctrlPr>
                    <w:rPr>
                      <w:rFonts w:ascii="Cambria Math" w:hAnsi="Cambria Math"/>
                      <w:i/>
                      <w:sz w:val="20"/>
                    </w:rPr>
                  </m:ctrlPr>
                </m:dPr>
                <m:e>
                  <m:f>
                    <m:fPr>
                      <m:ctrlPr>
                        <w:rPr>
                          <w:rFonts w:ascii="Cambria Math" w:hAnsi="Cambria Math"/>
                          <w:i/>
                          <w:sz w:val="20"/>
                        </w:rPr>
                      </m:ctrlPr>
                    </m:fPr>
                    <m:num>
                      <m:r>
                        <m:rPr>
                          <m:nor/>
                        </m:rPr>
                        <w:rPr>
                          <w:rFonts w:ascii="Cambria Math" w:hAnsi="Cambria Math"/>
                          <w:sz w:val="20"/>
                        </w:rPr>
                        <m:t xml:space="preserve">(Riesgo de erosión- Riesgo de erosión </m:t>
                      </m:r>
                      <m:r>
                        <m:rPr>
                          <m:nor/>
                        </m:rPr>
                        <w:rPr>
                          <w:rFonts w:ascii="Cambria Math" w:hAnsi="Cambria Math"/>
                          <w:i/>
                          <w:sz w:val="20"/>
                        </w:rPr>
                        <m:t>min</m:t>
                      </m:r>
                      <m:r>
                        <m:rPr>
                          <m:nor/>
                        </m:rPr>
                        <w:rPr>
                          <w:rFonts w:ascii="Cambria Math" w:hAnsi="Cambria Math"/>
                          <w:sz w:val="20"/>
                        </w:rPr>
                        <m:t>)</m:t>
                      </m:r>
                    </m:num>
                    <m:den>
                      <m:r>
                        <m:rPr>
                          <m:nor/>
                        </m:rPr>
                        <w:rPr>
                          <w:rFonts w:ascii="Cambria Math" w:hAnsi="Cambria Math"/>
                          <w:sz w:val="20"/>
                        </w:rPr>
                        <m:t xml:space="preserve">(Riesgo de erosión </m:t>
                      </m:r>
                      <m:r>
                        <w:rPr>
                          <w:rFonts w:ascii="Cambria Math" w:hAnsi="Cambria Math"/>
                          <w:sz w:val="20"/>
                        </w:rPr>
                        <m:t>max</m:t>
                      </m:r>
                      <m:r>
                        <m:rPr>
                          <m:nor/>
                        </m:rPr>
                        <w:rPr>
                          <w:rFonts w:ascii="Cambria Math" w:hAnsi="Cambria Math"/>
                          <w:sz w:val="20"/>
                        </w:rPr>
                        <m:t xml:space="preserve">- Riesgo de erosión </m:t>
                      </m:r>
                      <m:r>
                        <m:rPr>
                          <m:nor/>
                        </m:rPr>
                        <w:rPr>
                          <w:rFonts w:ascii="Cambria Math" w:hAnsi="Cambria Math"/>
                          <w:i/>
                          <w:sz w:val="20"/>
                        </w:rPr>
                        <m:t>min</m:t>
                      </m:r>
                      <m:r>
                        <m:rPr>
                          <m:nor/>
                        </m:rPr>
                        <w:rPr>
                          <w:rFonts w:ascii="Cambria Math" w:hAnsi="Cambria Math"/>
                          <w:sz w:val="20"/>
                        </w:rPr>
                        <m:t>)</m:t>
                      </m:r>
                    </m:den>
                  </m:f>
                </m:e>
              </m:d>
            </m:e>
          </m:func>
        </m:oMath>
      </m:oMathPara>
    </w:p>
    <w:p w:rsidR="00B92CEF" w:rsidRPr="00FB2B32" w:rsidRDefault="00B92CEF" w:rsidP="005A236C">
      <w:pPr>
        <w:jc w:val="center"/>
        <w:rPr>
          <w:i/>
          <w:iCs/>
          <w:sz w:val="18"/>
          <w:szCs w:val="18"/>
        </w:rPr>
      </w:pPr>
    </w:p>
    <w:p w:rsidR="00B92CEF" w:rsidRDefault="00B92CEF" w:rsidP="00F11AC9">
      <w:r>
        <w:lastRenderedPageBreak/>
        <w:t>Los datos utilizados para su elaboración fueron los publicados en el año 2000 por SEMADES-SEMARNAT en la capa de riesgo a la erosión, obtenida del Diagnóstico del Medio Físico del Ordenamiento Ecológico Territorial del Estado de Jalisco.</w:t>
      </w:r>
    </w:p>
    <w:p w:rsidR="00B92CEF" w:rsidRDefault="00B92CEF" w:rsidP="002C48F1">
      <w:r>
        <w:t xml:space="preserve">Los resultados del indicador se plasmaron gráficamente en el mapa que se muestra en la </w:t>
      </w:r>
      <w:r w:rsidR="00DB2960">
        <w:fldChar w:fldCharType="begin"/>
      </w:r>
      <w:r w:rsidR="00DB2960">
        <w:instrText xml:space="preserve"> REF _Ref310850741 \h </w:instrText>
      </w:r>
      <w:r w:rsidR="00DB2960">
        <w:fldChar w:fldCharType="separate"/>
      </w:r>
      <w:r w:rsidR="00FA100B" w:rsidRPr="00A0142A">
        <w:t xml:space="preserve">Figura </w:t>
      </w:r>
      <w:r w:rsidR="00FA100B">
        <w:rPr>
          <w:noProof/>
        </w:rPr>
        <w:t>11</w:t>
      </w:r>
      <w:r w:rsidR="00DB2960">
        <w:fldChar w:fldCharType="end"/>
      </w:r>
      <w:r>
        <w:t>; en el cual se puede observar que los municipios que pre</w:t>
      </w:r>
      <w:r w:rsidR="005252B4">
        <w:t xml:space="preserve">sentan mayor riesgo de erosión </w:t>
      </w:r>
      <w:r>
        <w:t xml:space="preserve">se localizan en la región Ciénega, Sierra de Amula y Valles. </w:t>
      </w:r>
    </w:p>
    <w:p w:rsidR="00B730D0" w:rsidRDefault="00BF1BD1" w:rsidP="00B730D0">
      <w:pPr>
        <w:jc w:val="center"/>
      </w:pPr>
      <w:r>
        <w:rPr>
          <w:noProof/>
          <w:lang w:eastAsia="es-MX"/>
        </w:rPr>
        <w:drawing>
          <wp:inline distT="0" distB="0" distL="0" distR="0" wp14:anchorId="222D17A9" wp14:editId="36F17940">
            <wp:extent cx="5095875" cy="3952875"/>
            <wp:effectExtent l="0" t="0" r="0" b="0"/>
            <wp:docPr id="9" name="Imagen 9" descr="riesgo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esgo erosion"/>
                    <pic:cNvPicPr>
                      <a:picLocks noChangeAspect="1" noChangeArrowheads="1"/>
                    </pic:cNvPicPr>
                  </pic:nvPicPr>
                  <pic:blipFill>
                    <a:blip r:embed="rId19" cstate="print">
                      <a:extLst>
                        <a:ext uri="{28A0092B-C50C-407E-A947-70E740481C1C}">
                          <a14:useLocalDpi xmlns:a14="http://schemas.microsoft.com/office/drawing/2010/main" val="0"/>
                        </a:ext>
                      </a:extLst>
                    </a:blip>
                    <a:srcRect t="4858" r="4608" b="8073"/>
                    <a:stretch>
                      <a:fillRect/>
                    </a:stretch>
                  </pic:blipFill>
                  <pic:spPr bwMode="auto">
                    <a:xfrm>
                      <a:off x="0" y="0"/>
                      <a:ext cx="5095875" cy="3952875"/>
                    </a:xfrm>
                    <a:prstGeom prst="rect">
                      <a:avLst/>
                    </a:prstGeom>
                    <a:noFill/>
                    <a:ln>
                      <a:noFill/>
                    </a:ln>
                  </pic:spPr>
                </pic:pic>
              </a:graphicData>
            </a:graphic>
          </wp:inline>
        </w:drawing>
      </w:r>
    </w:p>
    <w:p w:rsidR="00B92CEF" w:rsidRPr="00A0142A" w:rsidRDefault="00B92CEF" w:rsidP="00A0142A">
      <w:pPr>
        <w:pStyle w:val="Epgrafe"/>
      </w:pPr>
      <w:bookmarkStart w:id="12" w:name="_Ref310850741"/>
      <w:r w:rsidRPr="00A0142A">
        <w:t xml:space="preserve">Figura </w:t>
      </w:r>
      <w:fldSimple w:instr=" SEQ Figura \* ARABIC ">
        <w:r w:rsidR="00E174C8">
          <w:rPr>
            <w:noProof/>
          </w:rPr>
          <w:t>11</w:t>
        </w:r>
      </w:fldSimple>
      <w:bookmarkEnd w:id="12"/>
      <w:r w:rsidRPr="00A0142A">
        <w:t xml:space="preserve">. </w:t>
      </w:r>
      <w:r w:rsidR="008F5CDE" w:rsidRPr="00A0142A">
        <w:t xml:space="preserve">Mapa del </w:t>
      </w:r>
      <w:r w:rsidRPr="00A0142A">
        <w:t>Indicador de Riesgo de Erosión</w:t>
      </w:r>
    </w:p>
    <w:p w:rsidR="00DB2960" w:rsidRDefault="00DB2960" w:rsidP="00DB2960">
      <w:r>
        <w:t>Para la representación gráfica de este indicador, la escala de clasificación utilizada se encuentra a la inversa, debido a que es un indicador en sentido negativo, ya que hace referencia al riesgo de erosión, por lo tanto los municipios en color rojo son los que presentan mayor riesgo de erosión y los que están en color verde son los que presentan menor riesgo de erosión.</w:t>
      </w:r>
    </w:p>
    <w:p w:rsidR="00393088" w:rsidRDefault="00393088" w:rsidP="0091519A">
      <w:pPr>
        <w:rPr>
          <w:b/>
          <w:bCs/>
          <w:iCs/>
          <w:u w:val="single"/>
        </w:rPr>
      </w:pPr>
    </w:p>
    <w:p w:rsidR="0091519A" w:rsidRPr="00C66F6E" w:rsidRDefault="00593B6F" w:rsidP="0091519A">
      <w:pPr>
        <w:rPr>
          <w:b/>
          <w:bCs/>
          <w:iCs/>
          <w:u w:val="single"/>
        </w:rPr>
      </w:pPr>
      <w:r>
        <w:rPr>
          <w:b/>
          <w:bCs/>
          <w:iCs/>
          <w:u w:val="single"/>
        </w:rPr>
        <w:t xml:space="preserve">Tema </w:t>
      </w:r>
      <w:r w:rsidR="0091519A">
        <w:rPr>
          <w:b/>
          <w:bCs/>
          <w:iCs/>
          <w:u w:val="single"/>
        </w:rPr>
        <w:t>Contaminantes</w:t>
      </w:r>
    </w:p>
    <w:p w:rsidR="0091519A" w:rsidRDefault="0091519A" w:rsidP="0091519A">
      <w:r>
        <w:rPr>
          <w:b/>
          <w:bCs/>
          <w:i/>
          <w:iCs/>
        </w:rPr>
        <w:t>Indicador Emisiones y Transferencia de Contaminantes.</w:t>
      </w:r>
    </w:p>
    <w:p w:rsidR="00912D39" w:rsidRDefault="0091519A" w:rsidP="00912D39">
      <w:r>
        <w:t>Este indicador se refiere al número d</w:t>
      </w:r>
      <w:r w:rsidR="00D71C92">
        <w:t>e establecimientos industriales o de servicios (tintorerías, baños, hoteles, etc.),</w:t>
      </w:r>
      <w:r w:rsidR="00682596">
        <w:t xml:space="preserve"> </w:t>
      </w:r>
      <w:r w:rsidR="00912D39">
        <w:t xml:space="preserve">que emiten contaminantes al aire, al agua o al suelo; o que tienen alguna transferencia de sustancias en sus residuos peligrosos y/o en sus descargas de agua; y </w:t>
      </w:r>
      <w:r w:rsidR="00682596">
        <w:t xml:space="preserve">que se encuentran dentro del Registro de Emisiones y Transferencia de Contaminantes (RETC) de la SEMARNAT y de la </w:t>
      </w:r>
      <w:r w:rsidR="00682596" w:rsidRPr="00682596">
        <w:t>Comisión para la Cooperación Ambiental</w:t>
      </w:r>
      <w:r w:rsidR="00682596">
        <w:t xml:space="preserve"> (CCA)</w:t>
      </w:r>
      <w:r w:rsidR="00912D39">
        <w:t>. Para obtener el valor del indicador, se calculó la razón que existe entre establecimientos registrados en el RETC en cada municipio entre el total de establecimientos registrados en el RETC en todo el estado.</w:t>
      </w:r>
    </w:p>
    <w:p w:rsidR="00DB2960" w:rsidRDefault="00DB2960" w:rsidP="00912D39"/>
    <w:p w:rsidR="00DB2960" w:rsidRDefault="00C01027" w:rsidP="00912D39">
      <m:oMathPara>
        <m:oMath>
          <m:func>
            <m:funcPr>
              <m:ctrlPr>
                <w:rPr>
                  <w:rFonts w:ascii="Cambria Math" w:hAnsi="Cambria Math"/>
                  <w:i/>
                  <w:sz w:val="20"/>
                </w:rPr>
              </m:ctrlPr>
            </m:funcPr>
            <m:fName>
              <m:r>
                <w:rPr>
                  <w:rFonts w:ascii="Cambria Math" w:hAnsi="Cambria Math"/>
                  <w:sz w:val="18"/>
                  <w:szCs w:val="18"/>
                </w:rPr>
                <m:t>Emisiones y Transferencia de Contaminantes</m:t>
              </m:r>
            </m:fName>
            <m:e>
              <m:r>
                <w:rPr>
                  <w:rFonts w:ascii="Cambria Math" w:hAnsi="Cambria Math"/>
                  <w:sz w:val="20"/>
                </w:rPr>
                <m:t>=</m:t>
              </m:r>
              <m:f>
                <m:fPr>
                  <m:ctrlPr>
                    <w:rPr>
                      <w:rFonts w:ascii="Cambria Math" w:hAnsi="Cambria Math"/>
                      <w:i/>
                      <w:sz w:val="20"/>
                    </w:rPr>
                  </m:ctrlPr>
                </m:fPr>
                <m:num>
                  <m:r>
                    <m:rPr>
                      <m:sty m:val="p"/>
                    </m:rPr>
                    <w:rPr>
                      <w:rFonts w:ascii="Cambria Math" w:hAnsi="Cambria Math"/>
                      <w:sz w:val="18"/>
                      <w:szCs w:val="18"/>
                    </w:rPr>
                    <m:t>Establecimientos en el RETC en el municipio</m:t>
                  </m:r>
                </m:num>
                <m:den>
                  <m:r>
                    <w:rPr>
                      <w:rFonts w:ascii="Cambria Math" w:hAnsi="Cambria Math"/>
                      <w:sz w:val="18"/>
                      <w:szCs w:val="18"/>
                    </w:rPr>
                    <m:t xml:space="preserve"> </m:t>
                  </m:r>
                  <m:r>
                    <m:rPr>
                      <m:sty m:val="p"/>
                    </m:rPr>
                    <w:rPr>
                      <w:rFonts w:ascii="Cambria Math" w:hAnsi="Cambria Math"/>
                      <w:sz w:val="18"/>
                      <w:szCs w:val="18"/>
                    </w:rPr>
                    <m:t>Establecimientos en el RETC en el estado</m:t>
                  </m:r>
                </m:den>
              </m:f>
            </m:e>
          </m:func>
        </m:oMath>
      </m:oMathPara>
    </w:p>
    <w:p w:rsidR="00DB2960" w:rsidRDefault="00DB2960" w:rsidP="00912D39">
      <w:pPr>
        <w:jc w:val="center"/>
      </w:pPr>
    </w:p>
    <w:p w:rsidR="00DB2960" w:rsidRDefault="00DB2960" w:rsidP="00DB2960">
      <w:r>
        <w:t>Al valor obtenido se le aplicó la fórmula de normalización, modificada con la operación de complemento, debido a que es un indicador en sentido negativo</w:t>
      </w:r>
    </w:p>
    <w:p w:rsidR="00DB2960" w:rsidRDefault="00DB2960" w:rsidP="00DB2960"/>
    <w:p w:rsidR="00DB2960" w:rsidRDefault="00C01027" w:rsidP="00DB2960">
      <m:oMathPara>
        <m:oMath>
          <m:func>
            <m:funcPr>
              <m:ctrlPr>
                <w:rPr>
                  <w:rFonts w:ascii="Cambria Math" w:hAnsi="Cambria Math"/>
                  <w:i/>
                  <w:sz w:val="20"/>
                </w:rPr>
              </m:ctrlPr>
            </m:funcPr>
            <m:fName>
              <m:r>
                <m:rPr>
                  <m:nor/>
                </m:rP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18"/>
                      <w:szCs w:val="18"/>
                    </w:rPr>
                    <m:t>ETC</m:t>
                  </m:r>
                </m:e>
                <m:sub>
                  <m:r>
                    <m:rPr>
                      <m:nor/>
                    </m:rPr>
                    <w:rPr>
                      <w:rFonts w:ascii="Cambria Math" w:hAnsi="Cambria Math"/>
                      <w:i/>
                      <w:sz w:val="20"/>
                    </w:rPr>
                    <m:t>normalizado</m:t>
                  </m:r>
                </m:sub>
              </m:sSub>
              <m:r>
                <m:rPr>
                  <m:nor/>
                </m:rPr>
                <w:rPr>
                  <w:rFonts w:ascii="Cambria Math" w:hAnsi="Cambria Math"/>
                  <w:sz w:val="20"/>
                </w:rPr>
                <m:t>=</m:t>
              </m:r>
            </m:fName>
            <m:e>
              <m:r>
                <m:rPr>
                  <m:nor/>
                </m:rPr>
                <w:rPr>
                  <w:rFonts w:ascii="Cambria Math" w:hAnsi="Cambria Math"/>
                  <w:sz w:val="20"/>
                </w:rPr>
                <m:t>1-</m:t>
              </m:r>
              <m:d>
                <m:dPr>
                  <m:ctrlPr>
                    <w:rPr>
                      <w:rFonts w:ascii="Cambria Math" w:hAnsi="Cambria Math"/>
                      <w:i/>
                      <w:sz w:val="20"/>
                    </w:rPr>
                  </m:ctrlPr>
                </m:dPr>
                <m:e>
                  <m:f>
                    <m:fPr>
                      <m:ctrlPr>
                        <w:rPr>
                          <w:rFonts w:ascii="Cambria Math" w:hAnsi="Cambria Math"/>
                          <w:i/>
                          <w:sz w:val="20"/>
                        </w:rPr>
                      </m:ctrlPr>
                    </m:fPr>
                    <m:num>
                      <m:r>
                        <m:rPr>
                          <m:nor/>
                        </m:rPr>
                        <w:rPr>
                          <w:rFonts w:ascii="Cambria Math" w:hAnsi="Cambria Math"/>
                          <w:sz w:val="20"/>
                        </w:rPr>
                        <m:t>(</m:t>
                      </m:r>
                      <m:r>
                        <m:rPr>
                          <m:sty m:val="p"/>
                        </m:rPr>
                        <w:rPr>
                          <w:rFonts w:ascii="Cambria Math" w:hAnsi="Cambria Math"/>
                          <w:sz w:val="18"/>
                          <w:szCs w:val="18"/>
                        </w:rPr>
                        <m:t>ETC</m:t>
                      </m:r>
                      <m:r>
                        <m:rPr>
                          <m:nor/>
                        </m:rPr>
                        <w:rPr>
                          <w:rFonts w:ascii="Cambria Math" w:hAnsi="Cambria Math"/>
                          <w:sz w:val="20"/>
                        </w:rPr>
                        <m:t xml:space="preserve">- </m:t>
                      </m:r>
                      <m:r>
                        <m:rPr>
                          <m:sty m:val="p"/>
                        </m:rPr>
                        <w:rPr>
                          <w:rFonts w:ascii="Cambria Math" w:hAnsi="Cambria Math"/>
                          <w:sz w:val="18"/>
                          <w:szCs w:val="18"/>
                        </w:rPr>
                        <m:t>ETC</m:t>
                      </m:r>
                      <m:r>
                        <m:rPr>
                          <m:nor/>
                        </m:rPr>
                        <w:rPr>
                          <w:rFonts w:ascii="Cambria Math" w:hAnsi="Cambria Math"/>
                          <w:sz w:val="20"/>
                        </w:rPr>
                        <m:t xml:space="preserve"> </m:t>
                      </m:r>
                      <m:r>
                        <m:rPr>
                          <m:nor/>
                        </m:rPr>
                        <w:rPr>
                          <w:rFonts w:ascii="Cambria Math" w:hAnsi="Cambria Math"/>
                          <w:i/>
                          <w:sz w:val="20"/>
                        </w:rPr>
                        <m:t>min</m:t>
                      </m:r>
                      <m:r>
                        <m:rPr>
                          <m:nor/>
                        </m:rPr>
                        <w:rPr>
                          <w:rFonts w:ascii="Cambria Math" w:hAnsi="Cambria Math"/>
                          <w:sz w:val="20"/>
                        </w:rPr>
                        <m:t>)</m:t>
                      </m:r>
                    </m:num>
                    <m:den>
                      <m:r>
                        <m:rPr>
                          <m:nor/>
                        </m:rPr>
                        <w:rPr>
                          <w:rFonts w:ascii="Cambria Math" w:hAnsi="Cambria Math"/>
                          <w:sz w:val="20"/>
                        </w:rPr>
                        <m:t>(</m:t>
                      </m:r>
                      <m:r>
                        <m:rPr>
                          <m:sty m:val="p"/>
                        </m:rPr>
                        <w:rPr>
                          <w:rFonts w:ascii="Cambria Math" w:hAnsi="Cambria Math"/>
                          <w:sz w:val="18"/>
                          <w:szCs w:val="18"/>
                        </w:rPr>
                        <m:t>ETC</m:t>
                      </m:r>
                      <m:r>
                        <m:rPr>
                          <m:nor/>
                        </m:rPr>
                        <w:rPr>
                          <w:rFonts w:ascii="Cambria Math" w:hAnsi="Cambria Math"/>
                          <w:sz w:val="20"/>
                        </w:rPr>
                        <m:t xml:space="preserve"> </m:t>
                      </m:r>
                      <m:r>
                        <w:rPr>
                          <w:rFonts w:ascii="Cambria Math" w:hAnsi="Cambria Math"/>
                          <w:sz w:val="20"/>
                        </w:rPr>
                        <m:t>max</m:t>
                      </m:r>
                      <m:r>
                        <m:rPr>
                          <m:nor/>
                        </m:rPr>
                        <w:rPr>
                          <w:rFonts w:ascii="Cambria Math" w:hAnsi="Cambria Math"/>
                          <w:sz w:val="20"/>
                        </w:rPr>
                        <m:t xml:space="preserve">- </m:t>
                      </m:r>
                      <m:r>
                        <m:rPr>
                          <m:sty m:val="p"/>
                        </m:rPr>
                        <w:rPr>
                          <w:rFonts w:ascii="Cambria Math" w:hAnsi="Cambria Math"/>
                          <w:sz w:val="18"/>
                          <w:szCs w:val="18"/>
                        </w:rPr>
                        <m:t>ETC</m:t>
                      </m:r>
                      <m:r>
                        <m:rPr>
                          <m:nor/>
                        </m:rPr>
                        <w:rPr>
                          <w:rFonts w:ascii="Cambria Math" w:hAnsi="Cambria Math"/>
                          <w:i/>
                          <w:sz w:val="20"/>
                        </w:rPr>
                        <m:t>min</m:t>
                      </m:r>
                      <m:r>
                        <m:rPr>
                          <m:nor/>
                        </m:rPr>
                        <w:rPr>
                          <w:rFonts w:ascii="Cambria Math" w:hAnsi="Cambria Math"/>
                          <w:sz w:val="20"/>
                        </w:rPr>
                        <m:t>)</m:t>
                      </m:r>
                    </m:den>
                  </m:f>
                </m:e>
              </m:d>
            </m:e>
          </m:func>
        </m:oMath>
      </m:oMathPara>
    </w:p>
    <w:p w:rsidR="00DB2960" w:rsidRDefault="00DB2960" w:rsidP="00912D39">
      <w:pPr>
        <w:jc w:val="center"/>
        <w:rPr>
          <w:i/>
          <w:iCs/>
          <w:sz w:val="18"/>
          <w:szCs w:val="18"/>
        </w:rPr>
      </w:pPr>
    </w:p>
    <w:p w:rsidR="0091519A" w:rsidRDefault="0091519A" w:rsidP="0091519A">
      <w:r>
        <w:t>Los datos utilizados para su elaboración fueron los publicados en el año 20</w:t>
      </w:r>
      <w:r w:rsidR="00117FC6">
        <w:t>10</w:t>
      </w:r>
      <w:r>
        <w:t xml:space="preserve"> por </w:t>
      </w:r>
      <w:r w:rsidR="00117FC6">
        <w:t xml:space="preserve">la </w:t>
      </w:r>
      <w:r w:rsidR="00117FC6" w:rsidRPr="00682596">
        <w:t>Comisión para la Cooperación Ambiental</w:t>
      </w:r>
      <w:r w:rsidR="00117FC6">
        <w:t xml:space="preserve"> (CCA) en el mapa de </w:t>
      </w:r>
      <w:r w:rsidR="00117FC6" w:rsidRPr="00117FC6">
        <w:t xml:space="preserve">Plantas industriales incluidas en los registros de emisiones y transferencias de contaminantes (RETC) en </w:t>
      </w:r>
      <w:r w:rsidR="00117FC6">
        <w:t xml:space="preserve">el </w:t>
      </w:r>
      <w:r w:rsidR="00117FC6" w:rsidRPr="00117FC6">
        <w:t>2006</w:t>
      </w:r>
      <w:r w:rsidR="00117FC6">
        <w:t xml:space="preserve">, para México. </w:t>
      </w:r>
    </w:p>
    <w:p w:rsidR="0091519A" w:rsidRDefault="0091519A" w:rsidP="0091519A">
      <w:r>
        <w:t xml:space="preserve">Los resultados del indicador se plasmaron gráficamente en el mapa que se muestra en la </w:t>
      </w:r>
      <w:r w:rsidR="00E71348">
        <w:fldChar w:fldCharType="begin"/>
      </w:r>
      <w:r w:rsidR="00E71348">
        <w:instrText xml:space="preserve"> REF _Ref310851107 \h </w:instrText>
      </w:r>
      <w:r w:rsidR="00E71348">
        <w:fldChar w:fldCharType="separate"/>
      </w:r>
      <w:r w:rsidR="00C417FC" w:rsidRPr="00A0142A">
        <w:t xml:space="preserve">Figura </w:t>
      </w:r>
      <w:r w:rsidR="00C417FC">
        <w:rPr>
          <w:noProof/>
        </w:rPr>
        <w:t>12</w:t>
      </w:r>
      <w:r w:rsidR="00E71348">
        <w:fldChar w:fldCharType="end"/>
      </w:r>
      <w:r>
        <w:t xml:space="preserve">; en el cual se puede observar que </w:t>
      </w:r>
      <w:r w:rsidR="003F07B9">
        <w:t>Guadalajara es el</w:t>
      </w:r>
      <w:r>
        <w:t xml:space="preserve"> municipio que presenta</w:t>
      </w:r>
      <w:r w:rsidR="003F07B9">
        <w:t xml:space="preserve"> la</w:t>
      </w:r>
      <w:r>
        <w:t xml:space="preserve"> mayor</w:t>
      </w:r>
      <w:r w:rsidR="003F07B9">
        <w:t xml:space="preserve"> cantidad de plantas industriales, así como los del Área Metropolitana, y algunos de las regiones Centro, Ciénega, Valles, Costa Norte, Sur, Sureste y Altos Norte.</w:t>
      </w:r>
      <w:r>
        <w:t xml:space="preserve"> </w:t>
      </w:r>
    </w:p>
    <w:p w:rsidR="0091519A" w:rsidRDefault="00117FC6" w:rsidP="0091519A">
      <w:pPr>
        <w:jc w:val="center"/>
      </w:pPr>
      <w:r>
        <w:rPr>
          <w:noProof/>
          <w:lang w:eastAsia="es-MX"/>
        </w:rPr>
        <w:drawing>
          <wp:inline distT="0" distB="0" distL="0" distR="0" wp14:anchorId="68C55155" wp14:editId="74CE15D9">
            <wp:extent cx="5210915" cy="3952800"/>
            <wp:effectExtent l="0" t="0" r="8890" b="0"/>
            <wp:docPr id="15" name="Imagen 15" descr="D:\Miros\Indicadores\Mapas\emision y transmision de contamin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os\Indicadores\Mapas\emision y transmision de contaminante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84" t="7939" r="4975" b="8318"/>
                    <a:stretch/>
                  </pic:blipFill>
                  <pic:spPr bwMode="auto">
                    <a:xfrm>
                      <a:off x="0" y="0"/>
                      <a:ext cx="5210915"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91519A" w:rsidRPr="00A0142A" w:rsidRDefault="0091519A" w:rsidP="00A0142A">
      <w:pPr>
        <w:pStyle w:val="Epgrafe"/>
      </w:pPr>
      <w:bookmarkStart w:id="13" w:name="_Ref310851107"/>
      <w:r w:rsidRPr="00A0142A">
        <w:t xml:space="preserve">Figura </w:t>
      </w:r>
      <w:fldSimple w:instr=" SEQ Figura \* ARABIC ">
        <w:r w:rsidR="00E174C8">
          <w:rPr>
            <w:noProof/>
          </w:rPr>
          <w:t>12</w:t>
        </w:r>
      </w:fldSimple>
      <w:bookmarkEnd w:id="13"/>
      <w:r w:rsidRPr="00A0142A">
        <w:t xml:space="preserve">. Mapa del </w:t>
      </w:r>
      <w:r w:rsidR="00117FC6" w:rsidRPr="00A0142A">
        <w:t>Indicador de Emisión y transmisión de contaminantes</w:t>
      </w:r>
    </w:p>
    <w:p w:rsidR="00E71348" w:rsidRDefault="00E71348" w:rsidP="00E71348">
      <w:r>
        <w:t>Para la representación gráfica de este indicador, la escala de clasificación utilizada se encuentra a la inversa, debido a que es un indicador en sentido negativo, ya que hace referencia la cantidad de plantas industriales que producen emisiones o transmisión de contaminantes, por lo tanto los municipios en color rojo son los que presentan mayor presencia de plantas industriales y los que están en color verde son los que presentan menor presencia de plantas industriales.</w:t>
      </w:r>
    </w:p>
    <w:p w:rsidR="00593B6F" w:rsidRDefault="00141153" w:rsidP="00BC2A5C">
      <w:pPr>
        <w:rPr>
          <w:b/>
          <w:u w:val="single"/>
        </w:rPr>
      </w:pPr>
      <w:r w:rsidRPr="00141153">
        <w:rPr>
          <w:b/>
          <w:u w:val="single"/>
        </w:rPr>
        <w:lastRenderedPageBreak/>
        <w:t>Subíndices por grupo: presión, estado y respuesta</w:t>
      </w:r>
    </w:p>
    <w:p w:rsidR="00141153" w:rsidRDefault="00141153" w:rsidP="00BC2A5C">
      <w:pPr>
        <w:rPr>
          <w:b/>
        </w:rPr>
      </w:pPr>
      <w:r w:rsidRPr="00141153">
        <w:rPr>
          <w:b/>
        </w:rPr>
        <w:t>Subíndice de Presión</w:t>
      </w:r>
    </w:p>
    <w:p w:rsidR="00141153" w:rsidRDefault="00141153" w:rsidP="00BC2A5C">
      <w:r>
        <w:t xml:space="preserve">Para obtener el subíndice, se calculó el promedio de los indicadores que están en la categoría de </w:t>
      </w:r>
      <w:r w:rsidRPr="008A5F2B">
        <w:rPr>
          <w:i/>
        </w:rPr>
        <w:t>Presión</w:t>
      </w:r>
      <w:r>
        <w:t xml:space="preserve">, de acuerdo a la clasificación de la </w:t>
      </w:r>
      <w:r>
        <w:fldChar w:fldCharType="begin"/>
      </w:r>
      <w:r>
        <w:instrText xml:space="preserve"> REF _Ref310854806 \h </w:instrText>
      </w:r>
      <w:r>
        <w:fldChar w:fldCharType="separate"/>
      </w:r>
      <w:r>
        <w:t xml:space="preserve">Tabla </w:t>
      </w:r>
      <w:r>
        <w:rPr>
          <w:noProof/>
        </w:rPr>
        <w:t>1</w:t>
      </w:r>
      <w:r>
        <w:fldChar w:fldCharType="end"/>
      </w:r>
      <w:r w:rsidR="008A5F2B">
        <w:t xml:space="preserve">, que corresponde al indicador de </w:t>
      </w:r>
      <w:r w:rsidR="008A5F2B" w:rsidRPr="008A5F2B">
        <w:rPr>
          <w:i/>
        </w:rPr>
        <w:t>Generación de residuos sólidos municipales</w:t>
      </w:r>
      <w:r w:rsidR="008A5F2B">
        <w:t xml:space="preserve"> y </w:t>
      </w:r>
      <w:r w:rsidR="008A5F2B" w:rsidRPr="008A5F2B">
        <w:rPr>
          <w:i/>
        </w:rPr>
        <w:t>Deforestación</w:t>
      </w:r>
      <w:r w:rsidR="008A5F2B">
        <w:t>. El valor se obtuvo utilizando la siguiente formula</w:t>
      </w:r>
    </w:p>
    <w:p w:rsidR="008A5F2B" w:rsidRDefault="008A5F2B" w:rsidP="00BC2A5C"/>
    <w:p w:rsidR="008A5F2B" w:rsidRPr="00141153" w:rsidRDefault="00C01027" w:rsidP="00BC2A5C">
      <m:oMathPara>
        <m:oMath>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m:rPr>
                      <m:sty m:val="p"/>
                    </m:rPr>
                    <w:rPr>
                      <w:rFonts w:ascii="Cambria Math" w:hAnsi="Cambria Math"/>
                    </w:rPr>
                    <m:t>Subíndice</m:t>
                  </m:r>
                </m:e>
                <m:sub>
                  <m:r>
                    <w:rPr>
                      <w:rFonts w:ascii="Cambria Math" w:hAnsi="Cambria Math"/>
                    </w:rPr>
                    <m:t>presión</m:t>
                  </m:r>
                </m:sub>
              </m:sSub>
              <m:r>
                <w:rPr>
                  <w:rFonts w:ascii="Cambria Math" w:hAnsi="Cambria Math"/>
                </w:rPr>
                <m:t>=</m:t>
              </m:r>
            </m:fName>
            <m:e>
              <m:d>
                <m:dPr>
                  <m:ctrlPr>
                    <w:rPr>
                      <w:rFonts w:ascii="Cambria Math" w:hAnsi="Cambria Math"/>
                      <w:i/>
                    </w:rPr>
                  </m:ctrlPr>
                </m:dPr>
                <m:e>
                  <m:f>
                    <m:fPr>
                      <m:ctrlPr>
                        <w:rPr>
                          <w:rFonts w:ascii="Cambria Math" w:hAnsi="Cambria Math"/>
                          <w:i/>
                        </w:rPr>
                      </m:ctrlPr>
                    </m:fPr>
                    <m:num>
                      <m:r>
                        <w:rPr>
                          <w:rFonts w:ascii="Cambria Math" w:hAnsi="Cambria Math"/>
                        </w:rPr>
                        <m:t>Generación de residuos sólidos municipales+Deforestación</m:t>
                      </m:r>
                    </m:num>
                    <m:den>
                      <m:r>
                        <w:rPr>
                          <w:rFonts w:ascii="Cambria Math" w:hAnsi="Cambria Math"/>
                        </w:rPr>
                        <m:t>2</m:t>
                      </m:r>
                    </m:den>
                  </m:f>
                </m:e>
              </m:d>
            </m:e>
          </m:func>
        </m:oMath>
      </m:oMathPara>
    </w:p>
    <w:p w:rsidR="00E71348" w:rsidRDefault="00E71348" w:rsidP="00BC2A5C">
      <w:pPr>
        <w:rPr>
          <w:b/>
        </w:rPr>
      </w:pPr>
    </w:p>
    <w:p w:rsidR="000C7C64" w:rsidRPr="000C7C64" w:rsidRDefault="000C7C64" w:rsidP="00BC2A5C">
      <w:r>
        <w:t xml:space="preserve">En la </w:t>
      </w:r>
      <w:r>
        <w:fldChar w:fldCharType="begin"/>
      </w:r>
      <w:r>
        <w:instrText xml:space="preserve"> REF _Ref310858377 \h </w:instrText>
      </w:r>
      <w:r>
        <w:fldChar w:fldCharType="separate"/>
      </w:r>
      <w:r>
        <w:t xml:space="preserve">Figura </w:t>
      </w:r>
      <w:r>
        <w:rPr>
          <w:noProof/>
        </w:rPr>
        <w:t>13</w:t>
      </w:r>
      <w:r>
        <w:fldChar w:fldCharType="end"/>
      </w:r>
      <w:r>
        <w:t xml:space="preserve">, se presenta el mapa del subíndice de presión, el cual muestra que los municipios con mayor presión son Guadalajara y Acatic. </w:t>
      </w:r>
    </w:p>
    <w:p w:rsidR="000C7C64" w:rsidRDefault="000C7C64" w:rsidP="000C7C64">
      <w:pPr>
        <w:keepNext/>
        <w:jc w:val="center"/>
      </w:pPr>
      <w:r>
        <w:rPr>
          <w:b/>
          <w:noProof/>
          <w:lang w:eastAsia="es-MX"/>
        </w:rPr>
        <w:drawing>
          <wp:inline distT="0" distB="0" distL="0" distR="0" wp14:anchorId="3530FBCA" wp14:editId="33384921">
            <wp:extent cx="5243871" cy="3952800"/>
            <wp:effectExtent l="0" t="0" r="0" b="0"/>
            <wp:docPr id="14" name="Imagen 14" descr="D:\Miros\Indicadores\Mapas\subindice pr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os\Indicadores\Mapas\subindice presi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237" r="7633" b="9262"/>
                    <a:stretch/>
                  </pic:blipFill>
                  <pic:spPr bwMode="auto">
                    <a:xfrm>
                      <a:off x="0" y="0"/>
                      <a:ext cx="5243871"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8A5F2B" w:rsidRDefault="000C7C64" w:rsidP="000C7C64">
      <w:pPr>
        <w:pStyle w:val="Epgrafe"/>
        <w:rPr>
          <w:b w:val="0"/>
        </w:rPr>
      </w:pPr>
      <w:bookmarkStart w:id="14" w:name="_Ref310858377"/>
      <w:bookmarkStart w:id="15" w:name="_Ref310858363"/>
      <w:r>
        <w:t xml:space="preserve">Figura </w:t>
      </w:r>
      <w:fldSimple w:instr=" SEQ Figura \* ARABIC ">
        <w:r w:rsidR="00E174C8">
          <w:rPr>
            <w:noProof/>
          </w:rPr>
          <w:t>13</w:t>
        </w:r>
      </w:fldSimple>
      <w:bookmarkEnd w:id="14"/>
      <w:r>
        <w:t>. Mapa del Subíndice de Presión</w:t>
      </w:r>
      <w:bookmarkEnd w:id="15"/>
    </w:p>
    <w:p w:rsidR="000C7C64" w:rsidRDefault="000C7C64" w:rsidP="000C7C64">
      <w:r>
        <w:t>Para la representación gráfica de este subíndice, la escala de clasificación utilizada se encuentra a la inversa, debido a que es los indicadores que lo componen son en sentido negativo, por lo tanto los municipios en color rojo son los que presentan mayor presión al ambiente.</w:t>
      </w:r>
    </w:p>
    <w:p w:rsidR="000C7C64" w:rsidRPr="000C7C64" w:rsidRDefault="000C7C64" w:rsidP="000C7C64">
      <w:r w:rsidRPr="00141153">
        <w:rPr>
          <w:b/>
        </w:rPr>
        <w:t>Sub</w:t>
      </w:r>
      <w:r>
        <w:rPr>
          <w:b/>
        </w:rPr>
        <w:t>índice de Estado</w:t>
      </w:r>
    </w:p>
    <w:p w:rsidR="000C7C64" w:rsidRDefault="000C7C64" w:rsidP="000C7C64">
      <w:r>
        <w:t xml:space="preserve">Para obtener el subíndice, se calculó el promedio de los indicadores que están en la categoría de </w:t>
      </w:r>
      <w:r w:rsidRPr="008A5F2B">
        <w:rPr>
          <w:i/>
        </w:rPr>
        <w:t>Presión</w:t>
      </w:r>
      <w:r>
        <w:t xml:space="preserve">, de acuerdo a la clasificación de la </w:t>
      </w:r>
      <w:r>
        <w:fldChar w:fldCharType="begin"/>
      </w:r>
      <w:r>
        <w:instrText xml:space="preserve"> REF _Ref310854806 \h </w:instrText>
      </w:r>
      <w:r>
        <w:fldChar w:fldCharType="separate"/>
      </w:r>
      <w:r>
        <w:t xml:space="preserve">Tabla </w:t>
      </w:r>
      <w:r>
        <w:rPr>
          <w:noProof/>
        </w:rPr>
        <w:t>1</w:t>
      </w:r>
      <w:r>
        <w:fldChar w:fldCharType="end"/>
      </w:r>
      <w:r>
        <w:t xml:space="preserve">, que corresponde al indicador de </w:t>
      </w:r>
      <w:r>
        <w:rPr>
          <w:i/>
        </w:rPr>
        <w:t xml:space="preserve">Explotación de los acuíferos, Especies en NOM, UGAs con vocación para la conservación, Cobertura forestal, Riesgo de erosión </w:t>
      </w:r>
      <w:r w:rsidRPr="000C7C64">
        <w:t>y</w:t>
      </w:r>
      <w:r>
        <w:rPr>
          <w:i/>
        </w:rPr>
        <w:t xml:space="preserve"> Emisión de transmisiones y contaminantes</w:t>
      </w:r>
      <w:r>
        <w:t>. El valor se obtuvo utilizando la siguiente formula</w:t>
      </w:r>
    </w:p>
    <w:p w:rsidR="000C7C64" w:rsidRDefault="000C7C64" w:rsidP="000C7C64"/>
    <w:p w:rsidR="000C7C64" w:rsidRPr="00141153" w:rsidRDefault="00C01027" w:rsidP="000C7C64">
      <m:oMathPara>
        <m:oMath>
          <m:func>
            <m:funcPr>
              <m:ctrlPr>
                <w:rPr>
                  <w:rFonts w:ascii="Cambria Math" w:hAnsi="Cambria Math"/>
                  <w:i/>
                </w:rPr>
              </m:ctrlPr>
            </m:funcPr>
            <m:fName>
              <m:r>
                <m:rPr>
                  <m:nor/>
                </m:rPr>
                <w:rPr>
                  <w:rFonts w:ascii="Cambria Math" w:hAnsi="Cambria Math"/>
                </w:rPr>
                <m:t xml:space="preserve"> </m:t>
              </m:r>
              <m:sSub>
                <m:sSubPr>
                  <m:ctrlPr>
                    <w:rPr>
                      <w:rFonts w:ascii="Cambria Math" w:hAnsi="Cambria Math"/>
                      <w:i/>
                    </w:rPr>
                  </m:ctrlPr>
                </m:sSubPr>
                <m:e>
                  <m:r>
                    <m:rPr>
                      <m:nor/>
                    </m:rPr>
                    <w:rPr>
                      <w:rFonts w:ascii="Cambria Math" w:hAnsi="Cambria Math"/>
                    </w:rPr>
                    <m:t>Subíndice</m:t>
                  </m:r>
                </m:e>
                <m:sub>
                  <m:r>
                    <m:rPr>
                      <m:nor/>
                    </m:rPr>
                    <w:rPr>
                      <w:rFonts w:ascii="Cambria Math" w:hAnsi="Cambria Math"/>
                      <w:i/>
                    </w:rPr>
                    <m:t>estado</m:t>
                  </m:r>
                </m:sub>
              </m:sSub>
              <m:r>
                <m:rPr>
                  <m:nor/>
                </m:rPr>
                <w:rPr>
                  <w:rFonts w:ascii="Cambria Math" w:hAnsi="Cambria Math"/>
                </w:rPr>
                <m:t>=</m:t>
              </m:r>
            </m:fName>
            <m:e>
              <m:d>
                <m:dPr>
                  <m:ctrlPr>
                    <w:rPr>
                      <w:rFonts w:ascii="Cambria Math" w:hAnsi="Cambria Math"/>
                      <w:i/>
                    </w:rPr>
                  </m:ctrlPr>
                </m:dPr>
                <m:e>
                  <m:f>
                    <m:fPr>
                      <m:ctrlPr>
                        <w:rPr>
                          <w:rFonts w:ascii="Cambria Math" w:hAnsi="Cambria Math"/>
                          <w:i/>
                        </w:rPr>
                      </m:ctrlPr>
                    </m:fPr>
                    <m:num>
                      <m:eqArr>
                        <m:eqArrPr>
                          <m:ctrlPr>
                            <w:rPr>
                              <w:rFonts w:ascii="Cambria Math" w:hAnsi="Cambria Math"/>
                              <w:i/>
                            </w:rPr>
                          </m:ctrlPr>
                        </m:eqArrPr>
                        <m:e>
                          <m:r>
                            <m:rPr>
                              <m:nor/>
                            </m:rPr>
                            <w:rPr>
                              <w:rFonts w:ascii="Cambria Math" w:hAnsi="Cambria Math"/>
                              <w:i/>
                            </w:rPr>
                            <m:t xml:space="preserve">Explotación de los acuíferos </m:t>
                          </m:r>
                          <m:r>
                            <m:rPr>
                              <m:nor/>
                            </m:rPr>
                            <w:rPr>
                              <w:rFonts w:ascii="Cambria Math" w:hAnsi="Cambria Math"/>
                            </w:rPr>
                            <m:t>+</m:t>
                          </m:r>
                          <m:r>
                            <m:rPr>
                              <m:nor/>
                            </m:rPr>
                            <w:rPr>
                              <w:rFonts w:ascii="Cambria Math" w:hAnsi="Cambria Math"/>
                              <w:i/>
                            </w:rPr>
                            <m:t xml:space="preserve"> Especies en NOM </m:t>
                          </m:r>
                          <m:r>
                            <m:rPr>
                              <m:nor/>
                            </m:rPr>
                            <w:rPr>
                              <w:rFonts w:ascii="Cambria Math" w:hAnsi="Cambria Math"/>
                            </w:rPr>
                            <m:t>+</m:t>
                          </m:r>
                          <m:r>
                            <m:rPr>
                              <m:nor/>
                            </m:rPr>
                            <w:rPr>
                              <w:rFonts w:ascii="Cambria Math" w:hAnsi="Cambria Math"/>
                              <w:i/>
                            </w:rPr>
                            <m:t xml:space="preserve"> </m:t>
                          </m:r>
                        </m:e>
                        <m:e>
                          <m:r>
                            <m:rPr>
                              <m:nor/>
                            </m:rPr>
                            <w:rPr>
                              <w:rFonts w:ascii="Cambria Math" w:hAnsi="Cambria Math"/>
                              <w:i/>
                            </w:rPr>
                            <m:t xml:space="preserve">UGAs con vocación para la conservación </m:t>
                          </m:r>
                          <m:r>
                            <m:rPr>
                              <m:nor/>
                            </m:rPr>
                            <w:rPr>
                              <w:rFonts w:ascii="Cambria Math" w:hAnsi="Cambria Math"/>
                            </w:rPr>
                            <m:t>+</m:t>
                          </m:r>
                          <m:r>
                            <m:rPr>
                              <m:nor/>
                            </m:rPr>
                            <w:rPr>
                              <w:rFonts w:ascii="Cambria Math" w:hAnsi="Cambria Math"/>
                              <w:i/>
                            </w:rPr>
                            <m:t xml:space="preserve"> </m:t>
                          </m:r>
                          <m:ctrlPr>
                            <w:rPr>
                              <w:rFonts w:ascii="Cambria Math" w:eastAsia="Cambria Math" w:hAnsi="Cambria Math" w:cs="Cambria Math"/>
                              <w:i/>
                            </w:rPr>
                          </m:ctrlPr>
                        </m:e>
                        <m:e>
                          <m:r>
                            <m:rPr>
                              <m:nor/>
                            </m:rPr>
                            <w:rPr>
                              <w:rFonts w:ascii="Cambria Math" w:hAnsi="Cambria Math"/>
                              <w:i/>
                            </w:rPr>
                            <m:t xml:space="preserve">Cobertura forestal </m:t>
                          </m:r>
                          <m:r>
                            <m:rPr>
                              <m:nor/>
                            </m:rPr>
                            <w:rPr>
                              <w:rFonts w:ascii="Cambria Math" w:hAnsi="Cambria Math"/>
                            </w:rPr>
                            <m:t>+</m:t>
                          </m:r>
                          <m:r>
                            <m:rPr>
                              <m:nor/>
                            </m:rPr>
                            <w:rPr>
                              <w:rFonts w:ascii="Cambria Math" w:hAnsi="Cambria Math"/>
                              <w:i/>
                            </w:rPr>
                            <m:t xml:space="preserve"> Riesgo de erosión </m:t>
                          </m:r>
                          <m:r>
                            <m:rPr>
                              <m:nor/>
                            </m:rPr>
                            <w:rPr>
                              <w:rFonts w:ascii="Cambria Math" w:hAnsi="Cambria Math"/>
                            </w:rPr>
                            <m:t>+</m:t>
                          </m:r>
                          <m:r>
                            <m:rPr>
                              <m:nor/>
                            </m:rPr>
                            <w:rPr>
                              <w:rFonts w:ascii="Cambria Math" w:hAnsi="Cambria Math"/>
                              <w:i/>
                            </w:rPr>
                            <m:t xml:space="preserve"> </m:t>
                          </m:r>
                          <m:ctrlPr>
                            <w:rPr>
                              <w:rFonts w:ascii="Cambria Math" w:eastAsia="Cambria Math" w:hAnsi="Cambria Math" w:cs="Cambria Math"/>
                              <w:i/>
                            </w:rPr>
                          </m:ctrlPr>
                        </m:e>
                        <m:e>
                          <m:r>
                            <m:rPr>
                              <m:nor/>
                            </m:rPr>
                            <w:rPr>
                              <w:rFonts w:ascii="Cambria Math" w:hAnsi="Cambria Math"/>
                              <w:i/>
                            </w:rPr>
                            <m:t>Emisión de transmisiones y contaminantes</m:t>
                          </m:r>
                        </m:e>
                      </m:eqArr>
                    </m:num>
                    <m:den>
                      <m:r>
                        <w:rPr>
                          <w:rFonts w:ascii="Cambria Math" w:hAnsi="Cambria Math"/>
                        </w:rPr>
                        <m:t>6</m:t>
                      </m:r>
                    </m:den>
                  </m:f>
                </m:e>
              </m:d>
            </m:e>
          </m:func>
        </m:oMath>
      </m:oMathPara>
    </w:p>
    <w:p w:rsidR="000C7C64" w:rsidRDefault="000C7C64" w:rsidP="000C7C64">
      <w:pPr>
        <w:rPr>
          <w:b/>
        </w:rPr>
      </w:pPr>
    </w:p>
    <w:p w:rsidR="000C7C64" w:rsidRDefault="000C7C64" w:rsidP="000C7C64">
      <w:r>
        <w:t xml:space="preserve">En la </w:t>
      </w:r>
      <w:r w:rsidR="002E734D">
        <w:fldChar w:fldCharType="begin"/>
      </w:r>
      <w:r w:rsidR="002E734D">
        <w:instrText xml:space="preserve"> REF _Ref310858940 \h </w:instrText>
      </w:r>
      <w:r w:rsidR="002E734D">
        <w:fldChar w:fldCharType="separate"/>
      </w:r>
      <w:r w:rsidR="002E734D">
        <w:t xml:space="preserve">Figura </w:t>
      </w:r>
      <w:r w:rsidR="002E734D">
        <w:rPr>
          <w:noProof/>
        </w:rPr>
        <w:t>14</w:t>
      </w:r>
      <w:r w:rsidR="002E734D">
        <w:fldChar w:fldCharType="end"/>
      </w:r>
      <w:r>
        <w:t xml:space="preserve">, se presenta el mapa del subíndice de presión, el </w:t>
      </w:r>
      <w:r w:rsidR="002E734D">
        <w:t>cual muestra que los municipios, de acuerdo a los indicadores de estado, que presentan valores más bajos son los localizados en las Regiones Centro, Ciénega, Altos Nortes y Altos Sur; mientras que los de mayor valor son se localizan en las Regiones Costa Sur, Costa Norte, Sierra Occidental, Sureste, Norte y Centro.</w:t>
      </w:r>
      <w:r>
        <w:t xml:space="preserve"> </w:t>
      </w:r>
    </w:p>
    <w:p w:rsidR="002E734D" w:rsidRDefault="002E734D" w:rsidP="002E734D">
      <w:pPr>
        <w:keepNext/>
        <w:jc w:val="center"/>
      </w:pPr>
      <w:r>
        <w:rPr>
          <w:noProof/>
          <w:lang w:eastAsia="es-MX"/>
        </w:rPr>
        <w:drawing>
          <wp:inline distT="0" distB="0" distL="0" distR="0" wp14:anchorId="116E4966" wp14:editId="4F028B6C">
            <wp:extent cx="5031568" cy="3952800"/>
            <wp:effectExtent l="0" t="0" r="0" b="0"/>
            <wp:docPr id="16" name="Imagen 16" descr="D:\Miros\Indicadores\Mapas\subindice 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ros\Indicadores\Mapas\subindice estad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0" t="3214" r="1558" b="3969"/>
                    <a:stretch/>
                  </pic:blipFill>
                  <pic:spPr bwMode="auto">
                    <a:xfrm>
                      <a:off x="0" y="0"/>
                      <a:ext cx="5031568"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0C7C64" w:rsidRPr="000C7C64" w:rsidRDefault="002E734D" w:rsidP="002E734D">
      <w:pPr>
        <w:pStyle w:val="Epgrafe"/>
      </w:pPr>
      <w:bookmarkStart w:id="16" w:name="_Ref310858940"/>
      <w:r>
        <w:t xml:space="preserve">Figura </w:t>
      </w:r>
      <w:fldSimple w:instr=" SEQ Figura \* ARABIC ">
        <w:r w:rsidR="00E174C8">
          <w:rPr>
            <w:noProof/>
          </w:rPr>
          <w:t>14</w:t>
        </w:r>
      </w:fldSimple>
      <w:bookmarkEnd w:id="16"/>
      <w:r>
        <w:t>. Mapa del Subíndice de Estado</w:t>
      </w:r>
    </w:p>
    <w:p w:rsidR="00BE76FA" w:rsidRPr="000C7C64" w:rsidRDefault="00BE76FA" w:rsidP="00BE76FA">
      <w:r w:rsidRPr="00E174C8">
        <w:rPr>
          <w:b/>
        </w:rPr>
        <w:t>Subíndice de Respuesta</w:t>
      </w:r>
    </w:p>
    <w:p w:rsidR="00BE76FA" w:rsidRDefault="00BE76FA" w:rsidP="00BE76FA">
      <w:r>
        <w:t xml:space="preserve">Para obtener el subíndice, se calculó el promedio de los indicadores que están en la categoría de </w:t>
      </w:r>
      <w:r w:rsidRPr="008A5F2B">
        <w:rPr>
          <w:i/>
        </w:rPr>
        <w:t>Presión</w:t>
      </w:r>
      <w:r>
        <w:t xml:space="preserve">, de acuerdo a la clasificación de la </w:t>
      </w:r>
      <w:r>
        <w:fldChar w:fldCharType="begin"/>
      </w:r>
      <w:r>
        <w:instrText xml:space="preserve"> REF _Ref310854806 \h </w:instrText>
      </w:r>
      <w:r>
        <w:fldChar w:fldCharType="separate"/>
      </w:r>
      <w:r>
        <w:t xml:space="preserve">Tabla </w:t>
      </w:r>
      <w:r>
        <w:rPr>
          <w:noProof/>
        </w:rPr>
        <w:t>1</w:t>
      </w:r>
      <w:r>
        <w:fldChar w:fldCharType="end"/>
      </w:r>
      <w:r>
        <w:t xml:space="preserve">, que corresponde al indicador de </w:t>
      </w:r>
      <w:r w:rsidR="00E174C8">
        <w:rPr>
          <w:i/>
        </w:rPr>
        <w:t xml:space="preserve">Cobertura de abastecimiento de agua, Cobertura de drenaje, Áreas Naturales Protegidas </w:t>
      </w:r>
      <w:r w:rsidR="00E174C8" w:rsidRPr="00E174C8">
        <w:t>y</w:t>
      </w:r>
      <w:r w:rsidR="00E174C8">
        <w:rPr>
          <w:i/>
        </w:rPr>
        <w:t xml:space="preserve"> Recuperación</w:t>
      </w:r>
      <w:r>
        <w:t>. El valor se obtuvo utilizando la siguiente formula</w:t>
      </w:r>
    </w:p>
    <w:p w:rsidR="00BE76FA" w:rsidRDefault="00BE76FA" w:rsidP="00BE76FA"/>
    <w:p w:rsidR="00BE76FA" w:rsidRPr="00141153" w:rsidRDefault="00C01027" w:rsidP="00BE76FA">
      <m:oMathPara>
        <m:oMath>
          <m:func>
            <m:funcPr>
              <m:ctrlPr>
                <w:rPr>
                  <w:rFonts w:ascii="Cambria Math" w:hAnsi="Cambria Math"/>
                  <w:i/>
                </w:rPr>
              </m:ctrlPr>
            </m:funcPr>
            <m:fName>
              <m:r>
                <w:rPr>
                  <w:rFonts w:ascii="Cambria Math" w:hAnsi="Cambria Math"/>
                </w:rPr>
                <m:t xml:space="preserve"> </m:t>
              </m:r>
              <m:sSub>
                <m:sSubPr>
                  <m:ctrlPr>
                    <w:rPr>
                      <w:rFonts w:ascii="Cambria Math" w:hAnsi="Cambria Math"/>
                      <w:i/>
                    </w:rPr>
                  </m:ctrlPr>
                </m:sSubPr>
                <m:e>
                  <m:r>
                    <m:rPr>
                      <m:sty m:val="p"/>
                    </m:rPr>
                    <w:rPr>
                      <w:rFonts w:ascii="Cambria Math" w:hAnsi="Cambria Math"/>
                    </w:rPr>
                    <m:t>Subíndice</m:t>
                  </m:r>
                </m:e>
                <m:sub>
                  <m:r>
                    <w:rPr>
                      <w:rFonts w:ascii="Cambria Math" w:hAnsi="Cambria Math"/>
                    </w:rPr>
                    <m:t>respuesta</m:t>
                  </m:r>
                </m:sub>
              </m:sSub>
              <m:r>
                <w:rPr>
                  <w:rFonts w:ascii="Cambria Math" w:hAnsi="Cambria Math"/>
                </w:rPr>
                <m:t>=</m:t>
              </m:r>
            </m:fName>
            <m:e>
              <m:d>
                <m:dPr>
                  <m:ctrlPr>
                    <w:rPr>
                      <w:rFonts w:ascii="Cambria Math" w:hAnsi="Cambria Math"/>
                      <w:i/>
                    </w:rPr>
                  </m:ctrlPr>
                </m:dPr>
                <m:e>
                  <m:f>
                    <m:fPr>
                      <m:ctrlPr>
                        <w:rPr>
                          <w:rFonts w:ascii="Cambria Math" w:hAnsi="Cambria Math"/>
                          <w:i/>
                        </w:rPr>
                      </m:ctrlPr>
                    </m:fPr>
                    <m:num>
                      <m:eqArr>
                        <m:eqArrPr>
                          <m:ctrlPr>
                            <w:rPr>
                              <w:rFonts w:ascii="Cambria Math" w:hAnsi="Cambria Math"/>
                              <w:i/>
                            </w:rPr>
                          </m:ctrlPr>
                        </m:eqArrPr>
                        <m:e>
                          <m:r>
                            <w:rPr>
                              <w:rFonts w:ascii="Cambria Math" w:hAnsi="Cambria Math"/>
                            </w:rPr>
                            <m:t xml:space="preserve">Cobertura de abastecimiento de agua +Cobertura de drenaje + </m:t>
                          </m:r>
                        </m:e>
                        <m:e>
                          <m:r>
                            <w:rPr>
                              <w:rFonts w:ascii="Cambria Math" w:hAnsi="Cambria Math"/>
                            </w:rPr>
                            <m:t xml:space="preserve">Áreas Naturales Protegidas </m:t>
                          </m:r>
                          <m:r>
                            <m:rPr>
                              <m:sty m:val="p"/>
                            </m:rPr>
                            <w:rPr>
                              <w:rFonts w:ascii="Cambria Math" w:hAnsi="Cambria Math"/>
                            </w:rPr>
                            <m:t>+</m:t>
                          </m:r>
                          <m:r>
                            <w:rPr>
                              <w:rFonts w:ascii="Cambria Math" w:hAnsi="Cambria Math"/>
                            </w:rPr>
                            <m:t xml:space="preserve"> Recuperación</m:t>
                          </m:r>
                        </m:e>
                      </m:eqArr>
                    </m:num>
                    <m:den>
                      <m:r>
                        <w:rPr>
                          <w:rFonts w:ascii="Cambria Math" w:hAnsi="Cambria Math"/>
                        </w:rPr>
                        <m:t>4</m:t>
                      </m:r>
                    </m:den>
                  </m:f>
                </m:e>
              </m:d>
            </m:e>
          </m:func>
        </m:oMath>
      </m:oMathPara>
    </w:p>
    <w:p w:rsidR="00BE76FA" w:rsidRDefault="00BE76FA" w:rsidP="00BE76FA">
      <w:pPr>
        <w:rPr>
          <w:b/>
        </w:rPr>
      </w:pPr>
    </w:p>
    <w:p w:rsidR="00BE76FA" w:rsidRDefault="00BE76FA" w:rsidP="00BE76FA">
      <w:r>
        <w:t xml:space="preserve">En la </w:t>
      </w:r>
      <w:r w:rsidR="00E174C8">
        <w:fldChar w:fldCharType="begin"/>
      </w:r>
      <w:r w:rsidR="00E174C8">
        <w:instrText xml:space="preserve"> REF _Ref310862778 \h </w:instrText>
      </w:r>
      <w:r w:rsidR="00E174C8">
        <w:fldChar w:fldCharType="separate"/>
      </w:r>
      <w:r w:rsidR="00E174C8">
        <w:t xml:space="preserve">Figura </w:t>
      </w:r>
      <w:r w:rsidR="00E174C8">
        <w:rPr>
          <w:noProof/>
        </w:rPr>
        <w:t>15</w:t>
      </w:r>
      <w:r w:rsidR="00E174C8">
        <w:fldChar w:fldCharType="end"/>
      </w:r>
      <w:r>
        <w:t xml:space="preserve">, se presenta el mapa del subíndice de presión, el cual muestra que los municipios con </w:t>
      </w:r>
      <w:r w:rsidR="00E174C8">
        <w:t>menor respuesta</w:t>
      </w:r>
      <w:r>
        <w:t xml:space="preserve"> son </w:t>
      </w:r>
      <w:r w:rsidR="00E174C8">
        <w:t>Cabo Corrientes, Cuquio, San Ignacio Cerro Gordo, Bolaños y Chimaltitán; mientras que los que presentan una mayor respuesta son algunos municipios de las Regiones Sierra Occidental, Costa Sur, Sierra de Amula, Sur, Sureste, Centro, Valles y Altos Sur.</w:t>
      </w:r>
    </w:p>
    <w:p w:rsidR="00E174C8" w:rsidRDefault="00E174C8" w:rsidP="00E174C8">
      <w:pPr>
        <w:keepNext/>
        <w:jc w:val="center"/>
      </w:pPr>
      <w:r>
        <w:rPr>
          <w:noProof/>
          <w:lang w:eastAsia="es-MX"/>
        </w:rPr>
        <w:drawing>
          <wp:inline distT="0" distB="0" distL="0" distR="0" wp14:anchorId="0965EB57" wp14:editId="26020DFF">
            <wp:extent cx="4795961" cy="3952800"/>
            <wp:effectExtent l="0" t="0" r="5080" b="0"/>
            <wp:docPr id="17" name="Imagen 17" descr="D:\Miros\Indicadores\Mapas\subindice respu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ros\Indicadores\Mapas\subindice respuest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23" r="3426" b="2080"/>
                    <a:stretch/>
                  </pic:blipFill>
                  <pic:spPr bwMode="auto">
                    <a:xfrm>
                      <a:off x="0" y="0"/>
                      <a:ext cx="4795961" cy="3952800"/>
                    </a:xfrm>
                    <a:prstGeom prst="rect">
                      <a:avLst/>
                    </a:prstGeom>
                    <a:noFill/>
                    <a:ln>
                      <a:noFill/>
                    </a:ln>
                    <a:extLst>
                      <a:ext uri="{53640926-AAD7-44D8-BBD7-CCE9431645EC}">
                        <a14:shadowObscured xmlns:a14="http://schemas.microsoft.com/office/drawing/2010/main"/>
                      </a:ext>
                    </a:extLst>
                  </pic:spPr>
                </pic:pic>
              </a:graphicData>
            </a:graphic>
          </wp:inline>
        </w:drawing>
      </w:r>
    </w:p>
    <w:p w:rsidR="00E174C8" w:rsidRPr="000C7C64" w:rsidRDefault="00E174C8" w:rsidP="00E174C8">
      <w:pPr>
        <w:pStyle w:val="Epgrafe"/>
      </w:pPr>
      <w:bookmarkStart w:id="17" w:name="_Ref310862778"/>
      <w:r>
        <w:t xml:space="preserve">Figura </w:t>
      </w:r>
      <w:fldSimple w:instr=" SEQ Figura \* ARABIC ">
        <w:r>
          <w:rPr>
            <w:noProof/>
          </w:rPr>
          <w:t>15</w:t>
        </w:r>
      </w:fldSimple>
      <w:bookmarkEnd w:id="17"/>
      <w:r>
        <w:t>. Mapa del Subíndice de Respuesta</w:t>
      </w:r>
    </w:p>
    <w:p w:rsidR="000C7C64" w:rsidRDefault="000C7C64" w:rsidP="000C7C64"/>
    <w:p w:rsidR="00BC2A5C" w:rsidRPr="00E174C8" w:rsidRDefault="00BC2A5C" w:rsidP="00BC2A5C">
      <w:pPr>
        <w:rPr>
          <w:b/>
          <w:u w:val="single"/>
        </w:rPr>
      </w:pPr>
      <w:r w:rsidRPr="00E174C8">
        <w:rPr>
          <w:b/>
          <w:u w:val="single"/>
        </w:rPr>
        <w:t>Índice Municipal de Medio Ambiente</w:t>
      </w:r>
    </w:p>
    <w:p w:rsidR="00E174C8" w:rsidRDefault="00BC2A5C" w:rsidP="00BC2A5C">
      <w:r>
        <w:t xml:space="preserve">El Índice Municipal de Medio Ambiente (IMMA), </w:t>
      </w:r>
      <w:r w:rsidR="00E174C8">
        <w:t>se obtuvo mediante el cálculo del promedio de los tres subíndices, utilizando la siguiente formula</w:t>
      </w:r>
    </w:p>
    <w:p w:rsidR="00E174C8" w:rsidRDefault="00E174C8" w:rsidP="00BC2A5C"/>
    <w:p w:rsidR="00E174C8" w:rsidRPr="00E174C8" w:rsidRDefault="00C01027" w:rsidP="00BC2A5C">
      <m:oMathPara>
        <m:oMath>
          <m:func>
            <m:funcPr>
              <m:ctrlPr>
                <w:rPr>
                  <w:rFonts w:ascii="Cambria Math" w:hAnsi="Cambria Math"/>
                  <w:i/>
                </w:rPr>
              </m:ctrlPr>
            </m:funcPr>
            <m:fName>
              <m:r>
                <w:rPr>
                  <w:rFonts w:ascii="Cambria Math" w:hAnsi="Cambria Math"/>
                </w:rPr>
                <m:t xml:space="preserve"> Índice Municipal de Medio Ambiente=</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Subíndice</m:t>
                          </m:r>
                        </m:e>
                        <m:sub>
                          <m:r>
                            <w:rPr>
                              <w:rFonts w:ascii="Cambria Math" w:hAnsi="Cambria Math"/>
                            </w:rPr>
                            <m:t>presión</m:t>
                          </m:r>
                        </m:sub>
                      </m:sSub>
                      <m:r>
                        <w:rPr>
                          <w:rFonts w:ascii="Cambria Math" w:hAnsi="Cambria Math"/>
                        </w:rPr>
                        <m:t xml:space="preserve"> + </m:t>
                      </m:r>
                      <m:sSub>
                        <m:sSubPr>
                          <m:ctrlPr>
                            <w:rPr>
                              <w:rFonts w:ascii="Cambria Math" w:hAnsi="Cambria Math"/>
                              <w:i/>
                            </w:rPr>
                          </m:ctrlPr>
                        </m:sSubPr>
                        <m:e>
                          <m:r>
                            <m:rPr>
                              <m:sty m:val="p"/>
                            </m:rPr>
                            <w:rPr>
                              <w:rFonts w:ascii="Cambria Math" w:hAnsi="Cambria Math"/>
                            </w:rPr>
                            <m:t>Subíndice</m:t>
                          </m:r>
                        </m:e>
                        <m:sub>
                          <m:r>
                            <w:rPr>
                              <w:rFonts w:ascii="Cambria Math" w:hAnsi="Cambria Math"/>
                            </w:rPr>
                            <m:t>estado</m:t>
                          </m:r>
                        </m:sub>
                      </m:sSub>
                      <m:r>
                        <w:rPr>
                          <w:rFonts w:ascii="Cambria Math" w:hAnsi="Cambria Math"/>
                        </w:rPr>
                        <m:t xml:space="preserve"> + </m:t>
                      </m:r>
                      <m:sSub>
                        <m:sSubPr>
                          <m:ctrlPr>
                            <w:rPr>
                              <w:rFonts w:ascii="Cambria Math" w:hAnsi="Cambria Math"/>
                              <w:i/>
                            </w:rPr>
                          </m:ctrlPr>
                        </m:sSubPr>
                        <m:e>
                          <m:r>
                            <m:rPr>
                              <m:sty m:val="p"/>
                            </m:rPr>
                            <w:rPr>
                              <w:rFonts w:ascii="Cambria Math" w:hAnsi="Cambria Math"/>
                            </w:rPr>
                            <m:t>Subíndice</m:t>
                          </m:r>
                        </m:e>
                        <m:sub>
                          <m:r>
                            <w:rPr>
                              <w:rFonts w:ascii="Cambria Math" w:hAnsi="Cambria Math"/>
                            </w:rPr>
                            <m:t>respuesta</m:t>
                          </m:r>
                        </m:sub>
                      </m:sSub>
                    </m:num>
                    <m:den>
                      <m:r>
                        <m:rPr>
                          <m:sty m:val="p"/>
                        </m:rPr>
                        <w:rPr>
                          <w:rFonts w:ascii="Cambria Math" w:hAnsi="Cambria Math"/>
                        </w:rPr>
                        <m:t>3</m:t>
                      </m:r>
                    </m:den>
                  </m:f>
                </m:e>
              </m:d>
            </m:e>
          </m:func>
        </m:oMath>
      </m:oMathPara>
    </w:p>
    <w:p w:rsidR="00E174C8" w:rsidRDefault="00E174C8" w:rsidP="00E174C8"/>
    <w:p w:rsidR="00A32E14" w:rsidRDefault="00E174C8" w:rsidP="00A32E14">
      <w:r>
        <w:t xml:space="preserve">En la </w:t>
      </w:r>
      <w:r>
        <w:fldChar w:fldCharType="begin"/>
      </w:r>
      <w:r>
        <w:instrText xml:space="preserve"> REF _Ref310863205 \h </w:instrText>
      </w:r>
      <w:r>
        <w:fldChar w:fldCharType="separate"/>
      </w:r>
      <w:r w:rsidRPr="00A0142A">
        <w:t xml:space="preserve">Figura </w:t>
      </w:r>
      <w:r>
        <w:rPr>
          <w:noProof/>
        </w:rPr>
        <w:t>16</w:t>
      </w:r>
      <w:r>
        <w:fldChar w:fldCharType="end"/>
      </w:r>
      <w:r>
        <w:t xml:space="preserve"> se presenta el mapa del IMMA, el cual muestra las condiciones en las que se encuentran los municipios.</w:t>
      </w:r>
      <w:r w:rsidR="00A32E14">
        <w:t xml:space="preserve"> </w:t>
      </w:r>
    </w:p>
    <w:p w:rsidR="00A32E14" w:rsidRDefault="00A32E14" w:rsidP="00A32E14">
      <w:r>
        <w:lastRenderedPageBreak/>
        <w:t>Los municipios que presentan una calidad ambiental más baja son Acatic, Guadalajara y San Ignacio Cerro Gordo; mientras que los municipios con mejor calidad ambiental están localizados en las Regiones Sierra Occidental, Costa Norte, Valles, Altos, Sur, Sureste y Sierra de Amula.</w:t>
      </w:r>
    </w:p>
    <w:p w:rsidR="00E174C8" w:rsidRDefault="00A32E14" w:rsidP="00E174C8">
      <w:r>
        <w:t xml:space="preserve"> </w:t>
      </w:r>
    </w:p>
    <w:p w:rsidR="00BC2A5C" w:rsidRDefault="00A32E14" w:rsidP="00BC2A5C">
      <w:pPr>
        <w:keepNext/>
        <w:jc w:val="center"/>
      </w:pPr>
      <w:r>
        <w:rPr>
          <w:noProof/>
          <w:lang w:eastAsia="es-MX"/>
        </w:rPr>
        <w:drawing>
          <wp:inline distT="0" distB="0" distL="0" distR="0">
            <wp:extent cx="5972175" cy="4667250"/>
            <wp:effectExtent l="0" t="0" r="9525" b="0"/>
            <wp:docPr id="19" name="Imagen 19" descr="D:\Miros\Indicadores\Mapas\indice municipal de medio ambiente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ros\Indicadores\Mapas\indice municipal de medio ambiente V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0" t="7373" r="1246"/>
                    <a:stretch/>
                  </pic:blipFill>
                  <pic:spPr bwMode="auto">
                    <a:xfrm>
                      <a:off x="0" y="0"/>
                      <a:ext cx="5972175" cy="4667250"/>
                    </a:xfrm>
                    <a:prstGeom prst="rect">
                      <a:avLst/>
                    </a:prstGeom>
                    <a:noFill/>
                    <a:ln>
                      <a:noFill/>
                    </a:ln>
                    <a:extLst>
                      <a:ext uri="{53640926-AAD7-44D8-BBD7-CCE9431645EC}">
                        <a14:shadowObscured xmlns:a14="http://schemas.microsoft.com/office/drawing/2010/main"/>
                      </a:ext>
                    </a:extLst>
                  </pic:spPr>
                </pic:pic>
              </a:graphicData>
            </a:graphic>
          </wp:inline>
        </w:drawing>
      </w:r>
    </w:p>
    <w:p w:rsidR="00BC2A5C" w:rsidRDefault="00BC2A5C" w:rsidP="00BC2A5C">
      <w:pPr>
        <w:pStyle w:val="Epgrafe"/>
      </w:pPr>
      <w:bookmarkStart w:id="18" w:name="_Ref310863205"/>
      <w:r w:rsidRPr="00A0142A">
        <w:t xml:space="preserve">Figura </w:t>
      </w:r>
      <w:fldSimple w:instr=" SEQ Figura \* ARABIC ">
        <w:r w:rsidR="00E174C8">
          <w:rPr>
            <w:noProof/>
          </w:rPr>
          <w:t>16</w:t>
        </w:r>
      </w:fldSimple>
      <w:bookmarkEnd w:id="18"/>
      <w:r w:rsidRPr="00A0142A">
        <w:t>. Índice Municipal de Medio Ambiente</w:t>
      </w:r>
    </w:p>
    <w:p w:rsidR="00F0556E" w:rsidRDefault="00F0556E" w:rsidP="00C8522A">
      <w:pPr>
        <w:rPr>
          <w:b/>
          <w:bCs/>
          <w:i/>
          <w:iCs/>
        </w:rPr>
      </w:pPr>
    </w:p>
    <w:p w:rsidR="00F0556E" w:rsidRPr="002A6301" w:rsidRDefault="00F0556E" w:rsidP="00C8522A">
      <w:pPr>
        <w:rPr>
          <w:b/>
          <w:smallCaps/>
          <w:sz w:val="24"/>
        </w:rPr>
      </w:pPr>
      <w:r w:rsidRPr="002A6301">
        <w:rPr>
          <w:b/>
          <w:smallCaps/>
          <w:sz w:val="24"/>
        </w:rPr>
        <w:t xml:space="preserve">Bibliografía: </w:t>
      </w:r>
    </w:p>
    <w:sdt>
      <w:sdtPr>
        <w:rPr>
          <w:rFonts w:ascii="Arial" w:eastAsia="Times New Roman" w:hAnsi="Arial" w:cs="Arial"/>
          <w:b w:val="0"/>
          <w:bCs w:val="0"/>
          <w:color w:val="auto"/>
          <w:sz w:val="22"/>
          <w:szCs w:val="22"/>
          <w:lang w:val="es-ES" w:eastAsia="en-US"/>
        </w:rPr>
        <w:id w:val="902947707"/>
        <w:docPartObj>
          <w:docPartGallery w:val="Bibliographies"/>
          <w:docPartUnique/>
        </w:docPartObj>
      </w:sdtPr>
      <w:sdtEndPr>
        <w:rPr>
          <w:lang w:val="es-MX"/>
        </w:rPr>
      </w:sdtEndPr>
      <w:sdtContent>
        <w:p w:rsidR="00E96D49" w:rsidRPr="00E96D49" w:rsidRDefault="00E96D49" w:rsidP="00E96D49">
          <w:pPr>
            <w:pStyle w:val="Ttulo1"/>
            <w:ind w:left="709" w:hanging="709"/>
            <w:rPr>
              <w:rFonts w:ascii="Arial" w:eastAsia="Times New Roman" w:hAnsi="Arial" w:cs="Arial"/>
              <w:b w:val="0"/>
              <w:bCs w:val="0"/>
              <w:noProof/>
              <w:color w:val="auto"/>
              <w:sz w:val="22"/>
              <w:szCs w:val="22"/>
              <w:lang w:val="es-ES" w:eastAsia="en-US"/>
            </w:rPr>
          </w:pPr>
          <w:r w:rsidRPr="00E96D49">
            <w:rPr>
              <w:rFonts w:ascii="Arial" w:eastAsia="Times New Roman" w:hAnsi="Arial" w:cs="Arial"/>
              <w:b w:val="0"/>
              <w:bCs w:val="0"/>
              <w:noProof/>
              <w:color w:val="auto"/>
              <w:sz w:val="22"/>
              <w:szCs w:val="22"/>
              <w:lang w:val="es-ES" w:eastAsia="en-US"/>
            </w:rPr>
            <w:t>Flamand, L., Martínez Pellégrini, S., &amp; Hernández, A. (2007). Índice de Desarrollo Municipal Básico 2005 (IDMb). México: Fondo de Investigación y Desarrollo Segob-Conacyt.</w:t>
          </w:r>
        </w:p>
        <w:p w:rsidR="00E96D49" w:rsidRDefault="00E96D49" w:rsidP="00E96D49">
          <w:pPr>
            <w:pStyle w:val="Bibliografa"/>
            <w:ind w:left="720" w:hanging="720"/>
            <w:rPr>
              <w:noProof/>
              <w:lang w:val="es-ES"/>
            </w:rPr>
          </w:pPr>
          <w:r>
            <w:rPr>
              <w:noProof/>
              <w:lang w:val="es-ES"/>
            </w:rPr>
            <w:t xml:space="preserve">PNUMA. (2003). Indicadores Ambientales. </w:t>
          </w:r>
          <w:r>
            <w:rPr>
              <w:i/>
              <w:iCs/>
              <w:noProof/>
              <w:lang w:val="es-ES"/>
            </w:rPr>
            <w:t>XIV Reunión del Foro de Ministros de Medio Ambiente de América Latina y el Caribe</w:t>
          </w:r>
          <w:r>
            <w:rPr>
              <w:noProof/>
              <w:lang w:val="es-ES"/>
            </w:rPr>
            <w:t>, (págs. 1-11). Panamá.</w:t>
          </w:r>
        </w:p>
        <w:p w:rsidR="00E96D49" w:rsidRDefault="00E96D49" w:rsidP="00E96D49">
          <w:pPr>
            <w:pStyle w:val="Bibliografa"/>
            <w:ind w:left="720" w:hanging="720"/>
            <w:rPr>
              <w:noProof/>
              <w:lang w:val="es-ES"/>
            </w:rPr>
          </w:pPr>
          <w:r>
            <w:rPr>
              <w:noProof/>
              <w:lang w:val="es-ES"/>
            </w:rPr>
            <w:t xml:space="preserve">Quiroga Martínez, R. (2009). </w:t>
          </w:r>
          <w:r>
            <w:rPr>
              <w:i/>
              <w:iCs/>
              <w:noProof/>
              <w:lang w:val="es-ES"/>
            </w:rPr>
            <w:t>Guía metodológica para desarrollar indicadores ambientales y de desarrollo sostenible</w:t>
          </w:r>
          <w:r>
            <w:rPr>
              <w:noProof/>
              <w:lang w:val="es-ES"/>
            </w:rPr>
            <w:t xml:space="preserve"> (Vol. 61). Santiago de Chile: CEPAL.</w:t>
          </w:r>
        </w:p>
        <w:p w:rsidR="00E96D49" w:rsidRDefault="00E96D49" w:rsidP="00E96D49">
          <w:pPr>
            <w:pStyle w:val="Bibliografa"/>
            <w:ind w:left="720" w:hanging="720"/>
            <w:rPr>
              <w:noProof/>
              <w:lang w:val="es-ES"/>
            </w:rPr>
          </w:pPr>
          <w:r>
            <w:rPr>
              <w:noProof/>
              <w:lang w:val="es-ES"/>
            </w:rPr>
            <w:t xml:space="preserve">SEMARNAT. (2009). </w:t>
          </w:r>
          <w:r>
            <w:rPr>
              <w:i/>
              <w:iCs/>
              <w:noProof/>
              <w:lang w:val="es-ES"/>
            </w:rPr>
            <w:t>Indicadores Básicos del Desempeño Ambiental de México</w:t>
          </w:r>
          <w:r>
            <w:rPr>
              <w:noProof/>
              <w:lang w:val="es-ES"/>
            </w:rPr>
            <w:t>. Recuperado el Noviembre de 2011, de http://app1.semarnat.gob.mx/dgeia/indicadores_2010_web/index.html</w:t>
          </w:r>
        </w:p>
        <w:p w:rsidR="00E96D49" w:rsidRDefault="00C01027" w:rsidP="00E96D49"/>
      </w:sdtContent>
    </w:sdt>
    <w:p w:rsidR="009A2D55" w:rsidRPr="002A6301" w:rsidRDefault="009A2D55" w:rsidP="00C8522A">
      <w:pPr>
        <w:rPr>
          <w:b/>
          <w:smallCaps/>
          <w:sz w:val="24"/>
        </w:rPr>
      </w:pPr>
      <w:r w:rsidRPr="002A6301">
        <w:rPr>
          <w:b/>
          <w:smallCaps/>
          <w:sz w:val="24"/>
        </w:rPr>
        <w:t>Fuentes de la información</w:t>
      </w:r>
      <w:r w:rsidR="00F0556E" w:rsidRPr="002A6301">
        <w:rPr>
          <w:b/>
          <w:smallCaps/>
          <w:sz w:val="24"/>
        </w:rPr>
        <w:t xml:space="preserve"> cartográfica</w:t>
      </w:r>
      <w:r w:rsidRPr="002A6301">
        <w:rPr>
          <w:b/>
          <w:smallCaps/>
          <w:sz w:val="24"/>
        </w:rPr>
        <w:t xml:space="preserve">: </w:t>
      </w:r>
    </w:p>
    <w:p w:rsidR="009A2D55" w:rsidRDefault="009A2D55" w:rsidP="009A2D55">
      <w:r>
        <w:t>Secretaría de Medio Ambiente para el D</w:t>
      </w:r>
      <w:r w:rsidR="00B05F25">
        <w:t>esarrollo Sustentable (SEMADES), 2000,2010.</w:t>
      </w:r>
    </w:p>
    <w:p w:rsidR="009A2D55" w:rsidRDefault="009A2D55" w:rsidP="009A2D55">
      <w:r>
        <w:t>Instituto de Información Territorial del Estado de Jalisco (IITEJ)</w:t>
      </w:r>
      <w:r w:rsidR="00B05F25">
        <w:t>, 2009.</w:t>
      </w:r>
    </w:p>
    <w:p w:rsidR="009A2D55" w:rsidRDefault="009A2D55" w:rsidP="009A2D55">
      <w:r>
        <w:t>Secretaría de Medio Ambiente y Recursos Naturales (SEMARNAT)</w:t>
      </w:r>
      <w:r w:rsidR="00B0798C">
        <w:t xml:space="preserve">, </w:t>
      </w:r>
      <w:r w:rsidR="00B05F25">
        <w:t>2000.</w:t>
      </w:r>
    </w:p>
    <w:p w:rsidR="009A2D55" w:rsidRDefault="009A2D55" w:rsidP="009A2D55">
      <w:r>
        <w:t>Comisión Nacional del Agua (CONAGUA)</w:t>
      </w:r>
      <w:r w:rsidR="00B05F25">
        <w:t>, 2010.</w:t>
      </w:r>
    </w:p>
    <w:p w:rsidR="009A2D55" w:rsidRDefault="009A2D55" w:rsidP="009A2D55">
      <w:r>
        <w:t>Comisión Nacional para el Uso y Conocimiento de la Biodiversidad (CONABIO)</w:t>
      </w:r>
      <w:r w:rsidR="00B05F25">
        <w:t>, 2010.</w:t>
      </w:r>
    </w:p>
    <w:p w:rsidR="00CE760B" w:rsidRDefault="00CE760B" w:rsidP="00CE760B">
      <w:r>
        <w:t>Instituto Nacional de Estadística y Geografía (INEGI), 1982.</w:t>
      </w:r>
    </w:p>
    <w:p w:rsidR="009A2D55" w:rsidRDefault="009A2D55" w:rsidP="009A2D55">
      <w:r>
        <w:t>Instituto Nacional de Estadística y Geografía (INEGI)</w:t>
      </w:r>
      <w:r w:rsidR="00B05F25">
        <w:t>, 2007.</w:t>
      </w:r>
    </w:p>
    <w:p w:rsidR="009A2D55" w:rsidRDefault="009A2D55" w:rsidP="009A2D55">
      <w:r>
        <w:t>Comisión Nacional Forestal (CONAFOR)</w:t>
      </w:r>
      <w:r w:rsidR="00B05F25">
        <w:t>, 2007.</w:t>
      </w:r>
    </w:p>
    <w:p w:rsidR="0085277E" w:rsidRDefault="0085277E" w:rsidP="009A2D55">
      <w:r>
        <w:t>Segundo Conteo de Población y Vivienda del Instituto Nacional de Estadística y Geografía (INEGI), 2005.</w:t>
      </w:r>
    </w:p>
    <w:p w:rsidR="0085277E" w:rsidRDefault="0085277E" w:rsidP="009A2D55">
      <w:r>
        <w:t>Comisión Estatal del Agua del Estado de Jalisco (CEA), 2007.</w:t>
      </w:r>
    </w:p>
    <w:p w:rsidR="00581D4C" w:rsidRDefault="00581D4C" w:rsidP="00581D4C">
      <w:r w:rsidRPr="008A74BF">
        <w:t>Enciclopedia Temática Digital del Estado de Jalisco. Tomo de Geografía y Medio Ambiente. Capítulo “Cambio de uso del suelo y deforestación en el Estado de Jalisco y sus regiones”. 2010.</w:t>
      </w:r>
    </w:p>
    <w:p w:rsidR="008A74BF" w:rsidRPr="008A74BF" w:rsidRDefault="008A74BF" w:rsidP="00581D4C">
      <w:r w:rsidRPr="008A74BF">
        <w:t xml:space="preserve">Commission for Environmental Cooperation (CEC), 2010 </w:t>
      </w:r>
      <w:r>
        <w:t>(v</w:t>
      </w:r>
      <w:r w:rsidRPr="008A74BF">
        <w:t xml:space="preserve">ersión en español </w:t>
      </w:r>
      <w:r w:rsidRPr="00682596">
        <w:t>Comisión para la Cooperación Ambiental</w:t>
      </w:r>
      <w:r>
        <w:t xml:space="preserve"> (CCA)).</w:t>
      </w:r>
    </w:p>
    <w:p w:rsidR="00E63F84" w:rsidRPr="008A74BF" w:rsidRDefault="00E63F84" w:rsidP="00E63F84">
      <w:pPr>
        <w:rPr>
          <w:b/>
        </w:rPr>
      </w:pPr>
    </w:p>
    <w:p w:rsidR="00E63F84" w:rsidRPr="002A6301" w:rsidRDefault="00E63F84" w:rsidP="00E63F84">
      <w:pPr>
        <w:rPr>
          <w:b/>
          <w:smallCaps/>
          <w:sz w:val="24"/>
        </w:rPr>
      </w:pPr>
      <w:r w:rsidRPr="002A6301">
        <w:rPr>
          <w:b/>
          <w:smallCaps/>
          <w:sz w:val="24"/>
        </w:rPr>
        <w:t xml:space="preserve">Elaborado por: </w:t>
      </w:r>
    </w:p>
    <w:p w:rsidR="00E63F84" w:rsidRDefault="00E63F84" w:rsidP="00A0142A">
      <w:r w:rsidRPr="00E63F84">
        <w:t>Maximiano Bautista Andalón</w:t>
      </w:r>
    </w:p>
    <w:p w:rsidR="00E63F84" w:rsidRPr="00E63F84" w:rsidRDefault="00E63F84" w:rsidP="00E63F84">
      <w:pPr>
        <w:rPr>
          <w:sz w:val="18"/>
        </w:rPr>
      </w:pPr>
      <w:r w:rsidRPr="00E63F84">
        <w:rPr>
          <w:sz w:val="18"/>
        </w:rPr>
        <w:t>Coordinador de Planeación y Evaluación del IITEJ</w:t>
      </w:r>
    </w:p>
    <w:p w:rsidR="00E63F84" w:rsidRDefault="00E63F84" w:rsidP="00A0142A">
      <w:r>
        <w:t>Carlos Fernando Ruiz Chávez</w:t>
      </w:r>
    </w:p>
    <w:p w:rsidR="00E63F84" w:rsidRPr="00E63F84" w:rsidRDefault="00E63F84" w:rsidP="00E63F84">
      <w:pPr>
        <w:rPr>
          <w:sz w:val="18"/>
        </w:rPr>
      </w:pPr>
      <w:r w:rsidRPr="00E63F84">
        <w:rPr>
          <w:sz w:val="18"/>
        </w:rPr>
        <w:t>Coordinador de Comunicación y Apoyo del IITEJ</w:t>
      </w:r>
    </w:p>
    <w:p w:rsidR="00E63F84" w:rsidRDefault="00E63F84" w:rsidP="00A0142A">
      <w:r w:rsidRPr="00E63F84">
        <w:t>Miroslava Tadeo de la Torre</w:t>
      </w:r>
    </w:p>
    <w:p w:rsidR="00E63F84" w:rsidRDefault="00E63F84" w:rsidP="00E63F84">
      <w:pPr>
        <w:rPr>
          <w:sz w:val="18"/>
        </w:rPr>
      </w:pPr>
      <w:r w:rsidRPr="00E63F84">
        <w:rPr>
          <w:sz w:val="18"/>
        </w:rPr>
        <w:t>Prestador de Servicios Profesionales en el IITEJ</w:t>
      </w:r>
    </w:p>
    <w:p w:rsidR="002A6301" w:rsidRDefault="002A6301" w:rsidP="00E63F84">
      <w:pPr>
        <w:rPr>
          <w:b/>
          <w:smallCaps/>
          <w:sz w:val="24"/>
        </w:rPr>
      </w:pPr>
    </w:p>
    <w:p w:rsidR="00F0556E" w:rsidRPr="002A6301" w:rsidRDefault="00F0556E" w:rsidP="00E63F84">
      <w:pPr>
        <w:rPr>
          <w:b/>
          <w:smallCaps/>
          <w:sz w:val="24"/>
        </w:rPr>
      </w:pPr>
      <w:r w:rsidRPr="002A6301">
        <w:rPr>
          <w:b/>
          <w:smallCaps/>
          <w:sz w:val="24"/>
        </w:rPr>
        <w:t xml:space="preserve">Colaboradores: </w:t>
      </w:r>
    </w:p>
    <w:p w:rsidR="00F0556E" w:rsidRDefault="00F0556E" w:rsidP="00F0556E">
      <w:r w:rsidRPr="00E63F84">
        <w:t>Alberto Martínez Cárdenas</w:t>
      </w:r>
    </w:p>
    <w:p w:rsidR="00F0556E" w:rsidRPr="00E63F84" w:rsidRDefault="00F0556E" w:rsidP="00F0556E">
      <w:pPr>
        <w:rPr>
          <w:sz w:val="18"/>
        </w:rPr>
      </w:pPr>
      <w:r w:rsidRPr="00E63F84">
        <w:rPr>
          <w:sz w:val="18"/>
        </w:rPr>
        <w:t>Director del Centro de Información Estadística Ambiental e Informática de la SEMADES</w:t>
      </w:r>
    </w:p>
    <w:p w:rsidR="00F0556E" w:rsidRPr="00E63F84" w:rsidRDefault="00F0556E" w:rsidP="00E63F84">
      <w:pPr>
        <w:rPr>
          <w:sz w:val="18"/>
        </w:rPr>
      </w:pPr>
    </w:p>
    <w:p w:rsidR="00E63F84" w:rsidRPr="00E63F84" w:rsidRDefault="00E63F84" w:rsidP="00E63F84">
      <w:pPr>
        <w:rPr>
          <w:b/>
        </w:rPr>
      </w:pPr>
    </w:p>
    <w:p w:rsidR="009A2D55" w:rsidRPr="00906404" w:rsidRDefault="009A2D55" w:rsidP="00906404"/>
    <w:sectPr w:rsidR="009A2D55" w:rsidRPr="00906404" w:rsidSect="00507D8C">
      <w:headerReference w:type="default" r:id="rId25"/>
      <w:footerReference w:type="default" r:id="rId26"/>
      <w:pgSz w:w="12240" w:h="15840"/>
      <w:pgMar w:top="12" w:right="1325" w:bottom="1135" w:left="1276" w:header="708" w:footer="1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DC1" w:rsidRDefault="00867DC1" w:rsidP="00095FB3">
      <w:pPr>
        <w:spacing w:after="0"/>
      </w:pPr>
      <w:r>
        <w:separator/>
      </w:r>
    </w:p>
  </w:endnote>
  <w:endnote w:type="continuationSeparator" w:id="0">
    <w:p w:rsidR="00867DC1" w:rsidRDefault="00867DC1" w:rsidP="00095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27" w:rsidRDefault="00C01027">
    <w:pPr>
      <w:pStyle w:val="Piedepgina"/>
      <w:jc w:val="right"/>
    </w:pPr>
    <w:r>
      <w:fldChar w:fldCharType="begin"/>
    </w:r>
    <w:r>
      <w:instrText xml:space="preserve"> PAGE   \* MERGEFORMAT </w:instrText>
    </w:r>
    <w:r>
      <w:fldChar w:fldCharType="separate"/>
    </w:r>
    <w:r w:rsidR="00E145CF">
      <w:rPr>
        <w:noProof/>
      </w:rPr>
      <w:t>4</w:t>
    </w:r>
    <w:r>
      <w:fldChar w:fldCharType="end"/>
    </w:r>
  </w:p>
  <w:p w:rsidR="00C01027" w:rsidRDefault="00C010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DC1" w:rsidRDefault="00867DC1" w:rsidP="00095FB3">
      <w:pPr>
        <w:spacing w:after="0"/>
      </w:pPr>
      <w:r>
        <w:separator/>
      </w:r>
    </w:p>
  </w:footnote>
  <w:footnote w:type="continuationSeparator" w:id="0">
    <w:p w:rsidR="00867DC1" w:rsidRDefault="00867DC1" w:rsidP="00095FB3">
      <w:pPr>
        <w:spacing w:after="0"/>
      </w:pPr>
      <w:r>
        <w:continuationSeparator/>
      </w:r>
    </w:p>
  </w:footnote>
  <w:footnote w:id="1">
    <w:p w:rsidR="00C01027" w:rsidRPr="00076DE6" w:rsidRDefault="00C01027">
      <w:pPr>
        <w:pStyle w:val="Textonotapie"/>
        <w:rPr>
          <w:lang w:val="es-ES"/>
        </w:rPr>
      </w:pPr>
      <w:r>
        <w:rPr>
          <w:rStyle w:val="Refdenotaalpie"/>
        </w:rPr>
        <w:footnoteRef/>
      </w:r>
      <w:r>
        <w:t xml:space="preserve"> </w:t>
      </w:r>
      <w:r>
        <w:rPr>
          <w:lang w:val="es-ES"/>
        </w:rPr>
        <w:t>Anualmente la Comisión Nacional del Agua (CNA) publica en el Diario Oficial de la Federación la condición de los acuíferos y se actualiza el mapa de los mismos.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27" w:rsidRPr="003F51F0" w:rsidRDefault="00C01027" w:rsidP="00095FB3">
    <w:pPr>
      <w:pStyle w:val="Encabezado"/>
      <w:jc w:val="right"/>
      <w:rPr>
        <w:i/>
        <w:sz w:val="18"/>
        <w:szCs w:val="18"/>
      </w:rPr>
    </w:pPr>
    <w:r>
      <w:rPr>
        <w:i/>
        <w:noProof/>
        <w:sz w:val="18"/>
        <w:szCs w:val="18"/>
        <w:lang w:eastAsia="es-MX"/>
      </w:rPr>
      <mc:AlternateContent>
        <mc:Choice Requires="wps">
          <w:drawing>
            <wp:anchor distT="0" distB="0" distL="114300" distR="114300" simplePos="0" relativeHeight="251657728" behindDoc="0" locked="0" layoutInCell="1" allowOverlap="1" wp14:anchorId="4C1F7B9D" wp14:editId="6ED62680">
              <wp:simplePos x="0" y="0"/>
              <wp:positionH relativeFrom="column">
                <wp:posOffset>114300</wp:posOffset>
              </wp:positionH>
              <wp:positionV relativeFrom="paragraph">
                <wp:posOffset>183515</wp:posOffset>
              </wp:positionV>
              <wp:extent cx="6057900" cy="0"/>
              <wp:effectExtent l="9525" t="12065" r="9525" b="698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5pt" to="48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" strokecolor="#9c0"/>
          </w:pict>
        </mc:Fallback>
      </mc:AlternateContent>
    </w:r>
    <w:r w:rsidRPr="003F51F0">
      <w:rPr>
        <w:i/>
        <w:sz w:val="18"/>
        <w:szCs w:val="18"/>
      </w:rPr>
      <w:t>Instituto de Información Territorial del Estado de Jalisco</w:t>
    </w:r>
  </w:p>
  <w:p w:rsidR="00C01027" w:rsidRDefault="00C010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068A0"/>
    <w:multiLevelType w:val="hybridMultilevel"/>
    <w:tmpl w:val="343EB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9B29FD"/>
    <w:multiLevelType w:val="hybridMultilevel"/>
    <w:tmpl w:val="9452AC88"/>
    <w:lvl w:ilvl="0" w:tplc="EB7A3820">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710BCC"/>
    <w:multiLevelType w:val="hybridMultilevel"/>
    <w:tmpl w:val="A5B0CA72"/>
    <w:lvl w:ilvl="0" w:tplc="D01AF54C">
      <w:numFmt w:val="bullet"/>
      <w:lvlText w:val=""/>
      <w:lvlJc w:val="left"/>
      <w:pPr>
        <w:ind w:left="720" w:hanging="360"/>
      </w:pPr>
      <w:rPr>
        <w:rFonts w:ascii="Symbol" w:hAnsi="Symbol" w:cs="Times New Roman" w:hint="default"/>
        <w:spacing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404"/>
    <w:rsid w:val="00001457"/>
    <w:rsid w:val="00001A36"/>
    <w:rsid w:val="00001E61"/>
    <w:rsid w:val="000049CA"/>
    <w:rsid w:val="00016AFA"/>
    <w:rsid w:val="00017DD4"/>
    <w:rsid w:val="00031B57"/>
    <w:rsid w:val="00044608"/>
    <w:rsid w:val="00056E5C"/>
    <w:rsid w:val="00061F07"/>
    <w:rsid w:val="00065CDD"/>
    <w:rsid w:val="00076DE6"/>
    <w:rsid w:val="00082D50"/>
    <w:rsid w:val="0008347A"/>
    <w:rsid w:val="00085890"/>
    <w:rsid w:val="00095FB3"/>
    <w:rsid w:val="000972C8"/>
    <w:rsid w:val="000B420B"/>
    <w:rsid w:val="000B54EC"/>
    <w:rsid w:val="000C67AB"/>
    <w:rsid w:val="000C7C64"/>
    <w:rsid w:val="000D2A74"/>
    <w:rsid w:val="000D4D95"/>
    <w:rsid w:val="000D5947"/>
    <w:rsid w:val="000E0B55"/>
    <w:rsid w:val="000F3BF4"/>
    <w:rsid w:val="000F6819"/>
    <w:rsid w:val="00113B7E"/>
    <w:rsid w:val="00117FC6"/>
    <w:rsid w:val="0012028D"/>
    <w:rsid w:val="00120B96"/>
    <w:rsid w:val="00127F44"/>
    <w:rsid w:val="00141153"/>
    <w:rsid w:val="00145358"/>
    <w:rsid w:val="001517CC"/>
    <w:rsid w:val="0016292A"/>
    <w:rsid w:val="00175B6F"/>
    <w:rsid w:val="00187493"/>
    <w:rsid w:val="001932D9"/>
    <w:rsid w:val="001C7117"/>
    <w:rsid w:val="001E27DC"/>
    <w:rsid w:val="001E28C5"/>
    <w:rsid w:val="001F1C83"/>
    <w:rsid w:val="0020585D"/>
    <w:rsid w:val="002142CC"/>
    <w:rsid w:val="002212D2"/>
    <w:rsid w:val="002272CB"/>
    <w:rsid w:val="00236D1E"/>
    <w:rsid w:val="00237818"/>
    <w:rsid w:val="00240339"/>
    <w:rsid w:val="00271AA5"/>
    <w:rsid w:val="00272A7A"/>
    <w:rsid w:val="00277FCF"/>
    <w:rsid w:val="00281E05"/>
    <w:rsid w:val="00297EA2"/>
    <w:rsid w:val="002A6301"/>
    <w:rsid w:val="002B722C"/>
    <w:rsid w:val="002C0288"/>
    <w:rsid w:val="002C15EB"/>
    <w:rsid w:val="002C48F1"/>
    <w:rsid w:val="002C6AC6"/>
    <w:rsid w:val="002E4A04"/>
    <w:rsid w:val="002E734D"/>
    <w:rsid w:val="00317B2C"/>
    <w:rsid w:val="00350E75"/>
    <w:rsid w:val="003512B0"/>
    <w:rsid w:val="00361838"/>
    <w:rsid w:val="00374197"/>
    <w:rsid w:val="00382200"/>
    <w:rsid w:val="00393088"/>
    <w:rsid w:val="003A060F"/>
    <w:rsid w:val="003E1535"/>
    <w:rsid w:val="003E57AE"/>
    <w:rsid w:val="003F07B9"/>
    <w:rsid w:val="003F4D33"/>
    <w:rsid w:val="003F51F0"/>
    <w:rsid w:val="003F5FE2"/>
    <w:rsid w:val="0040280F"/>
    <w:rsid w:val="00404FE1"/>
    <w:rsid w:val="0043261C"/>
    <w:rsid w:val="00433873"/>
    <w:rsid w:val="00433963"/>
    <w:rsid w:val="00450111"/>
    <w:rsid w:val="004540D8"/>
    <w:rsid w:val="0046699F"/>
    <w:rsid w:val="004723B7"/>
    <w:rsid w:val="004A145C"/>
    <w:rsid w:val="004A4E44"/>
    <w:rsid w:val="004A7C2F"/>
    <w:rsid w:val="004B3C27"/>
    <w:rsid w:val="004B76F5"/>
    <w:rsid w:val="004C4F78"/>
    <w:rsid w:val="004D0031"/>
    <w:rsid w:val="004D113C"/>
    <w:rsid w:val="004D62E0"/>
    <w:rsid w:val="004F1D71"/>
    <w:rsid w:val="00505F62"/>
    <w:rsid w:val="00507D8C"/>
    <w:rsid w:val="00511CB0"/>
    <w:rsid w:val="00513F3C"/>
    <w:rsid w:val="005213A0"/>
    <w:rsid w:val="005252B4"/>
    <w:rsid w:val="00525BF5"/>
    <w:rsid w:val="0053135C"/>
    <w:rsid w:val="00532218"/>
    <w:rsid w:val="00543678"/>
    <w:rsid w:val="00550643"/>
    <w:rsid w:val="00554DC0"/>
    <w:rsid w:val="00572CF5"/>
    <w:rsid w:val="005743E2"/>
    <w:rsid w:val="00581D4C"/>
    <w:rsid w:val="00582B33"/>
    <w:rsid w:val="005866AA"/>
    <w:rsid w:val="00593B6F"/>
    <w:rsid w:val="00595DCC"/>
    <w:rsid w:val="005A236C"/>
    <w:rsid w:val="005B0025"/>
    <w:rsid w:val="005C5686"/>
    <w:rsid w:val="005C6095"/>
    <w:rsid w:val="005D31CE"/>
    <w:rsid w:val="005E1F5D"/>
    <w:rsid w:val="005E7E68"/>
    <w:rsid w:val="005F2FEA"/>
    <w:rsid w:val="005F500F"/>
    <w:rsid w:val="00617D52"/>
    <w:rsid w:val="0063141D"/>
    <w:rsid w:val="00631D3D"/>
    <w:rsid w:val="00644762"/>
    <w:rsid w:val="00651AD1"/>
    <w:rsid w:val="00675D42"/>
    <w:rsid w:val="00682596"/>
    <w:rsid w:val="006827AF"/>
    <w:rsid w:val="0068500F"/>
    <w:rsid w:val="00687B37"/>
    <w:rsid w:val="00690926"/>
    <w:rsid w:val="006A04A9"/>
    <w:rsid w:val="006A0A12"/>
    <w:rsid w:val="006A52A0"/>
    <w:rsid w:val="006C4F18"/>
    <w:rsid w:val="006F06C5"/>
    <w:rsid w:val="006F51F0"/>
    <w:rsid w:val="006F5C27"/>
    <w:rsid w:val="00700594"/>
    <w:rsid w:val="00707D0B"/>
    <w:rsid w:val="00717DA6"/>
    <w:rsid w:val="007410ED"/>
    <w:rsid w:val="0074129E"/>
    <w:rsid w:val="00744804"/>
    <w:rsid w:val="00777105"/>
    <w:rsid w:val="007A0CDD"/>
    <w:rsid w:val="007B0B48"/>
    <w:rsid w:val="007B79F2"/>
    <w:rsid w:val="007D4A43"/>
    <w:rsid w:val="007D7C2A"/>
    <w:rsid w:val="007E0AC6"/>
    <w:rsid w:val="008073DB"/>
    <w:rsid w:val="0081690E"/>
    <w:rsid w:val="00821491"/>
    <w:rsid w:val="00822279"/>
    <w:rsid w:val="0082416D"/>
    <w:rsid w:val="00826447"/>
    <w:rsid w:val="00834EE8"/>
    <w:rsid w:val="00846E08"/>
    <w:rsid w:val="0085277E"/>
    <w:rsid w:val="00856E3C"/>
    <w:rsid w:val="0085762D"/>
    <w:rsid w:val="00862ABE"/>
    <w:rsid w:val="00867DC1"/>
    <w:rsid w:val="00870D30"/>
    <w:rsid w:val="00872719"/>
    <w:rsid w:val="00876079"/>
    <w:rsid w:val="008839F2"/>
    <w:rsid w:val="00890954"/>
    <w:rsid w:val="008922F5"/>
    <w:rsid w:val="00893FD7"/>
    <w:rsid w:val="008A5F2B"/>
    <w:rsid w:val="008A64FB"/>
    <w:rsid w:val="008A74BF"/>
    <w:rsid w:val="008C2E1E"/>
    <w:rsid w:val="008C44B4"/>
    <w:rsid w:val="008D7A44"/>
    <w:rsid w:val="008E3DBC"/>
    <w:rsid w:val="008E4305"/>
    <w:rsid w:val="008F2056"/>
    <w:rsid w:val="008F5CDE"/>
    <w:rsid w:val="00901C1E"/>
    <w:rsid w:val="00906404"/>
    <w:rsid w:val="00906ACA"/>
    <w:rsid w:val="0090785B"/>
    <w:rsid w:val="00912D39"/>
    <w:rsid w:val="00913BBB"/>
    <w:rsid w:val="0091519A"/>
    <w:rsid w:val="00930682"/>
    <w:rsid w:val="00954BA2"/>
    <w:rsid w:val="009615D5"/>
    <w:rsid w:val="00970C28"/>
    <w:rsid w:val="00977672"/>
    <w:rsid w:val="00991072"/>
    <w:rsid w:val="00991703"/>
    <w:rsid w:val="00994C20"/>
    <w:rsid w:val="009A03F1"/>
    <w:rsid w:val="009A2D55"/>
    <w:rsid w:val="009A3736"/>
    <w:rsid w:val="009B1090"/>
    <w:rsid w:val="009C0638"/>
    <w:rsid w:val="009C4301"/>
    <w:rsid w:val="009C756F"/>
    <w:rsid w:val="009D0819"/>
    <w:rsid w:val="009E6689"/>
    <w:rsid w:val="009F0496"/>
    <w:rsid w:val="009F0F00"/>
    <w:rsid w:val="00A0142A"/>
    <w:rsid w:val="00A014D9"/>
    <w:rsid w:val="00A0562E"/>
    <w:rsid w:val="00A132A7"/>
    <w:rsid w:val="00A155DB"/>
    <w:rsid w:val="00A16B27"/>
    <w:rsid w:val="00A243BB"/>
    <w:rsid w:val="00A32E14"/>
    <w:rsid w:val="00A359F0"/>
    <w:rsid w:val="00A43573"/>
    <w:rsid w:val="00A457C4"/>
    <w:rsid w:val="00A50E8C"/>
    <w:rsid w:val="00A510ED"/>
    <w:rsid w:val="00A67C8B"/>
    <w:rsid w:val="00A71CE8"/>
    <w:rsid w:val="00A91B1C"/>
    <w:rsid w:val="00A94BCF"/>
    <w:rsid w:val="00AA3BED"/>
    <w:rsid w:val="00AA4666"/>
    <w:rsid w:val="00AB5EC8"/>
    <w:rsid w:val="00AC10AD"/>
    <w:rsid w:val="00AC32B1"/>
    <w:rsid w:val="00AD3FB3"/>
    <w:rsid w:val="00AD4C48"/>
    <w:rsid w:val="00AE0C7E"/>
    <w:rsid w:val="00AE203C"/>
    <w:rsid w:val="00B05F25"/>
    <w:rsid w:val="00B0798C"/>
    <w:rsid w:val="00B14877"/>
    <w:rsid w:val="00B36FFE"/>
    <w:rsid w:val="00B50DFC"/>
    <w:rsid w:val="00B552D9"/>
    <w:rsid w:val="00B66F75"/>
    <w:rsid w:val="00B67BC0"/>
    <w:rsid w:val="00B7155B"/>
    <w:rsid w:val="00B730D0"/>
    <w:rsid w:val="00B81F4E"/>
    <w:rsid w:val="00B92CEF"/>
    <w:rsid w:val="00B94EFD"/>
    <w:rsid w:val="00BB2D1F"/>
    <w:rsid w:val="00BB3490"/>
    <w:rsid w:val="00BB4DD7"/>
    <w:rsid w:val="00BC1C8A"/>
    <w:rsid w:val="00BC2A5C"/>
    <w:rsid w:val="00BC6070"/>
    <w:rsid w:val="00BC789B"/>
    <w:rsid w:val="00BE60B4"/>
    <w:rsid w:val="00BE76FA"/>
    <w:rsid w:val="00BF1BD1"/>
    <w:rsid w:val="00C01027"/>
    <w:rsid w:val="00C06305"/>
    <w:rsid w:val="00C10C90"/>
    <w:rsid w:val="00C1177E"/>
    <w:rsid w:val="00C15051"/>
    <w:rsid w:val="00C16329"/>
    <w:rsid w:val="00C176C7"/>
    <w:rsid w:val="00C17BBF"/>
    <w:rsid w:val="00C27424"/>
    <w:rsid w:val="00C33D01"/>
    <w:rsid w:val="00C417FC"/>
    <w:rsid w:val="00C63900"/>
    <w:rsid w:val="00C66F6E"/>
    <w:rsid w:val="00C70EEF"/>
    <w:rsid w:val="00C80C4A"/>
    <w:rsid w:val="00C82097"/>
    <w:rsid w:val="00C8522A"/>
    <w:rsid w:val="00C8708C"/>
    <w:rsid w:val="00C90C44"/>
    <w:rsid w:val="00CA408B"/>
    <w:rsid w:val="00CB7128"/>
    <w:rsid w:val="00CC672E"/>
    <w:rsid w:val="00CD441A"/>
    <w:rsid w:val="00CD7777"/>
    <w:rsid w:val="00CE672F"/>
    <w:rsid w:val="00CE760B"/>
    <w:rsid w:val="00CF6E02"/>
    <w:rsid w:val="00D243B8"/>
    <w:rsid w:val="00D44966"/>
    <w:rsid w:val="00D547A7"/>
    <w:rsid w:val="00D5785D"/>
    <w:rsid w:val="00D57F37"/>
    <w:rsid w:val="00D71C92"/>
    <w:rsid w:val="00D80643"/>
    <w:rsid w:val="00D84BA3"/>
    <w:rsid w:val="00D85DB4"/>
    <w:rsid w:val="00D8760B"/>
    <w:rsid w:val="00DB12DA"/>
    <w:rsid w:val="00DB2960"/>
    <w:rsid w:val="00DB5E01"/>
    <w:rsid w:val="00DB6108"/>
    <w:rsid w:val="00DB64C0"/>
    <w:rsid w:val="00DD35D6"/>
    <w:rsid w:val="00DD594C"/>
    <w:rsid w:val="00DF4760"/>
    <w:rsid w:val="00E02BFB"/>
    <w:rsid w:val="00E145CF"/>
    <w:rsid w:val="00E174C8"/>
    <w:rsid w:val="00E243C4"/>
    <w:rsid w:val="00E278ED"/>
    <w:rsid w:val="00E36774"/>
    <w:rsid w:val="00E40AA3"/>
    <w:rsid w:val="00E4296D"/>
    <w:rsid w:val="00E46EDD"/>
    <w:rsid w:val="00E5401B"/>
    <w:rsid w:val="00E54CE3"/>
    <w:rsid w:val="00E55B45"/>
    <w:rsid w:val="00E606C8"/>
    <w:rsid w:val="00E61F76"/>
    <w:rsid w:val="00E63F84"/>
    <w:rsid w:val="00E67000"/>
    <w:rsid w:val="00E71348"/>
    <w:rsid w:val="00E807AD"/>
    <w:rsid w:val="00E8198B"/>
    <w:rsid w:val="00E85BBC"/>
    <w:rsid w:val="00E8702B"/>
    <w:rsid w:val="00E96D49"/>
    <w:rsid w:val="00EA02D8"/>
    <w:rsid w:val="00EA4115"/>
    <w:rsid w:val="00EB103A"/>
    <w:rsid w:val="00EB5207"/>
    <w:rsid w:val="00EC0BAD"/>
    <w:rsid w:val="00ED50FC"/>
    <w:rsid w:val="00EE41E1"/>
    <w:rsid w:val="00EF050E"/>
    <w:rsid w:val="00EF6630"/>
    <w:rsid w:val="00F029E5"/>
    <w:rsid w:val="00F050D4"/>
    <w:rsid w:val="00F0556E"/>
    <w:rsid w:val="00F06693"/>
    <w:rsid w:val="00F11AC9"/>
    <w:rsid w:val="00F164F3"/>
    <w:rsid w:val="00F32054"/>
    <w:rsid w:val="00F34E23"/>
    <w:rsid w:val="00F403C4"/>
    <w:rsid w:val="00F44808"/>
    <w:rsid w:val="00F51F91"/>
    <w:rsid w:val="00F523C4"/>
    <w:rsid w:val="00F747C9"/>
    <w:rsid w:val="00F85B93"/>
    <w:rsid w:val="00FA100B"/>
    <w:rsid w:val="00FA7713"/>
    <w:rsid w:val="00FB0248"/>
    <w:rsid w:val="00FB0777"/>
    <w:rsid w:val="00FB0C45"/>
    <w:rsid w:val="00FB23CC"/>
    <w:rsid w:val="00FB2B32"/>
    <w:rsid w:val="00FB46B1"/>
    <w:rsid w:val="00FC333A"/>
    <w:rsid w:val="00FE562F"/>
    <w:rsid w:val="00FF1A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s-MX" w:eastAsia="es-MX"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42A"/>
    <w:pPr>
      <w:spacing w:before="120" w:after="120"/>
      <w:jc w:val="both"/>
    </w:pPr>
    <w:rPr>
      <w:rFonts w:eastAsia="Times New Roman" w:cs="Arial"/>
      <w:sz w:val="22"/>
      <w:szCs w:val="22"/>
      <w:lang w:eastAsia="en-US"/>
    </w:rPr>
  </w:style>
  <w:style w:type="paragraph" w:styleId="Ttulo1">
    <w:name w:val="heading 1"/>
    <w:basedOn w:val="Normal"/>
    <w:next w:val="Normal"/>
    <w:link w:val="Ttulo1Car"/>
    <w:uiPriority w:val="9"/>
    <w:qFormat/>
    <w:locked/>
    <w:rsid w:val="00E96D49"/>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F44808"/>
    <w:pPr>
      <w:spacing w:after="0"/>
    </w:pPr>
    <w:rPr>
      <w:rFonts w:ascii="Tahoma" w:hAnsi="Tahoma" w:cs="Tahoma"/>
      <w:sz w:val="16"/>
      <w:szCs w:val="16"/>
    </w:rPr>
  </w:style>
  <w:style w:type="character" w:customStyle="1" w:styleId="TextodegloboCar">
    <w:name w:val="Texto de globo Car"/>
    <w:link w:val="Textodeglobo"/>
    <w:semiHidden/>
    <w:locked/>
    <w:rsid w:val="00F44808"/>
    <w:rPr>
      <w:rFonts w:ascii="Tahoma" w:hAnsi="Tahoma" w:cs="Tahoma"/>
      <w:sz w:val="16"/>
      <w:szCs w:val="16"/>
    </w:rPr>
  </w:style>
  <w:style w:type="paragraph" w:styleId="Epgrafe">
    <w:name w:val="caption"/>
    <w:basedOn w:val="Normal"/>
    <w:next w:val="Normal"/>
    <w:qFormat/>
    <w:rsid w:val="00A0142A"/>
    <w:pPr>
      <w:jc w:val="center"/>
    </w:pPr>
    <w:rPr>
      <w:b/>
      <w:bCs/>
      <w:color w:val="0D0D0D" w:themeColor="text1" w:themeTint="F2"/>
      <w:sz w:val="18"/>
      <w:szCs w:val="18"/>
    </w:rPr>
  </w:style>
  <w:style w:type="paragraph" w:styleId="Encabezado">
    <w:name w:val="header"/>
    <w:basedOn w:val="Normal"/>
    <w:link w:val="EncabezadoCar"/>
    <w:uiPriority w:val="99"/>
    <w:rsid w:val="00095FB3"/>
    <w:pPr>
      <w:tabs>
        <w:tab w:val="center" w:pos="4419"/>
        <w:tab w:val="right" w:pos="8838"/>
      </w:tabs>
    </w:pPr>
  </w:style>
  <w:style w:type="character" w:customStyle="1" w:styleId="EncabezadoCar">
    <w:name w:val="Encabezado Car"/>
    <w:link w:val="Encabezado"/>
    <w:uiPriority w:val="99"/>
    <w:rsid w:val="00095FB3"/>
    <w:rPr>
      <w:rFonts w:eastAsia="Times New Roman" w:cs="Arial"/>
      <w:sz w:val="22"/>
      <w:szCs w:val="22"/>
      <w:lang w:eastAsia="en-US"/>
    </w:rPr>
  </w:style>
  <w:style w:type="paragraph" w:styleId="Piedepgina">
    <w:name w:val="footer"/>
    <w:basedOn w:val="Normal"/>
    <w:link w:val="PiedepginaCar"/>
    <w:uiPriority w:val="99"/>
    <w:rsid w:val="00095FB3"/>
    <w:pPr>
      <w:tabs>
        <w:tab w:val="center" w:pos="4419"/>
        <w:tab w:val="right" w:pos="8838"/>
      </w:tabs>
    </w:pPr>
  </w:style>
  <w:style w:type="character" w:customStyle="1" w:styleId="PiedepginaCar">
    <w:name w:val="Pie de página Car"/>
    <w:link w:val="Piedepgina"/>
    <w:uiPriority w:val="99"/>
    <w:rsid w:val="00095FB3"/>
    <w:rPr>
      <w:rFonts w:eastAsia="Times New Roman" w:cs="Arial"/>
      <w:sz w:val="22"/>
      <w:szCs w:val="22"/>
      <w:lang w:eastAsia="en-US"/>
    </w:rPr>
  </w:style>
  <w:style w:type="paragraph" w:styleId="Prrafodelista">
    <w:name w:val="List Paragraph"/>
    <w:basedOn w:val="Normal"/>
    <w:uiPriority w:val="34"/>
    <w:qFormat/>
    <w:rsid w:val="00ED50FC"/>
    <w:pPr>
      <w:ind w:left="720"/>
      <w:contextualSpacing/>
    </w:pPr>
    <w:rPr>
      <w:rFonts w:eastAsia="Calibri" w:cs="Times New Roman"/>
    </w:rPr>
  </w:style>
  <w:style w:type="paragraph" w:styleId="Textonotapie">
    <w:name w:val="footnote text"/>
    <w:basedOn w:val="Normal"/>
    <w:semiHidden/>
    <w:rsid w:val="00076DE6"/>
    <w:rPr>
      <w:sz w:val="20"/>
      <w:szCs w:val="20"/>
    </w:rPr>
  </w:style>
  <w:style w:type="character" w:styleId="Refdenotaalpie">
    <w:name w:val="footnote reference"/>
    <w:semiHidden/>
    <w:rsid w:val="00076DE6"/>
    <w:rPr>
      <w:vertAlign w:val="superscript"/>
    </w:rPr>
  </w:style>
  <w:style w:type="character" w:styleId="Textodelmarcadordeposicin">
    <w:name w:val="Placeholder Text"/>
    <w:basedOn w:val="Fuentedeprrafopredeter"/>
    <w:uiPriority w:val="99"/>
    <w:semiHidden/>
    <w:rsid w:val="000972C8"/>
    <w:rPr>
      <w:color w:val="808080"/>
    </w:rPr>
  </w:style>
  <w:style w:type="character" w:customStyle="1" w:styleId="Ttulo1Car">
    <w:name w:val="Título 1 Car"/>
    <w:basedOn w:val="Fuentedeprrafopredeter"/>
    <w:link w:val="Ttulo1"/>
    <w:uiPriority w:val="9"/>
    <w:rsid w:val="00E96D49"/>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E96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s-MX" w:eastAsia="es-MX"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142A"/>
    <w:pPr>
      <w:spacing w:before="120" w:after="120"/>
      <w:jc w:val="both"/>
    </w:pPr>
    <w:rPr>
      <w:rFonts w:eastAsia="Times New Roman" w:cs="Arial"/>
      <w:sz w:val="22"/>
      <w:szCs w:val="22"/>
      <w:lang w:eastAsia="en-US"/>
    </w:rPr>
  </w:style>
  <w:style w:type="paragraph" w:styleId="Ttulo1">
    <w:name w:val="heading 1"/>
    <w:basedOn w:val="Normal"/>
    <w:next w:val="Normal"/>
    <w:link w:val="Ttulo1Car"/>
    <w:uiPriority w:val="9"/>
    <w:qFormat/>
    <w:locked/>
    <w:rsid w:val="00E96D49"/>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F44808"/>
    <w:pPr>
      <w:spacing w:after="0"/>
    </w:pPr>
    <w:rPr>
      <w:rFonts w:ascii="Tahoma" w:hAnsi="Tahoma" w:cs="Tahoma"/>
      <w:sz w:val="16"/>
      <w:szCs w:val="16"/>
    </w:rPr>
  </w:style>
  <w:style w:type="character" w:customStyle="1" w:styleId="TextodegloboCar">
    <w:name w:val="Texto de globo Car"/>
    <w:link w:val="Textodeglobo"/>
    <w:semiHidden/>
    <w:locked/>
    <w:rsid w:val="00F44808"/>
    <w:rPr>
      <w:rFonts w:ascii="Tahoma" w:hAnsi="Tahoma" w:cs="Tahoma"/>
      <w:sz w:val="16"/>
      <w:szCs w:val="16"/>
    </w:rPr>
  </w:style>
  <w:style w:type="paragraph" w:styleId="Epgrafe">
    <w:name w:val="caption"/>
    <w:basedOn w:val="Normal"/>
    <w:next w:val="Normal"/>
    <w:qFormat/>
    <w:rsid w:val="00A0142A"/>
    <w:pPr>
      <w:jc w:val="center"/>
    </w:pPr>
    <w:rPr>
      <w:b/>
      <w:bCs/>
      <w:color w:val="0D0D0D" w:themeColor="text1" w:themeTint="F2"/>
      <w:sz w:val="18"/>
      <w:szCs w:val="18"/>
    </w:rPr>
  </w:style>
  <w:style w:type="paragraph" w:styleId="Encabezado">
    <w:name w:val="header"/>
    <w:basedOn w:val="Normal"/>
    <w:link w:val="EncabezadoCar"/>
    <w:uiPriority w:val="99"/>
    <w:rsid w:val="00095FB3"/>
    <w:pPr>
      <w:tabs>
        <w:tab w:val="center" w:pos="4419"/>
        <w:tab w:val="right" w:pos="8838"/>
      </w:tabs>
    </w:pPr>
  </w:style>
  <w:style w:type="character" w:customStyle="1" w:styleId="EncabezadoCar">
    <w:name w:val="Encabezado Car"/>
    <w:link w:val="Encabezado"/>
    <w:uiPriority w:val="99"/>
    <w:rsid w:val="00095FB3"/>
    <w:rPr>
      <w:rFonts w:eastAsia="Times New Roman" w:cs="Arial"/>
      <w:sz w:val="22"/>
      <w:szCs w:val="22"/>
      <w:lang w:eastAsia="en-US"/>
    </w:rPr>
  </w:style>
  <w:style w:type="paragraph" w:styleId="Piedepgina">
    <w:name w:val="footer"/>
    <w:basedOn w:val="Normal"/>
    <w:link w:val="PiedepginaCar"/>
    <w:uiPriority w:val="99"/>
    <w:rsid w:val="00095FB3"/>
    <w:pPr>
      <w:tabs>
        <w:tab w:val="center" w:pos="4419"/>
        <w:tab w:val="right" w:pos="8838"/>
      </w:tabs>
    </w:pPr>
  </w:style>
  <w:style w:type="character" w:customStyle="1" w:styleId="PiedepginaCar">
    <w:name w:val="Pie de página Car"/>
    <w:link w:val="Piedepgina"/>
    <w:uiPriority w:val="99"/>
    <w:rsid w:val="00095FB3"/>
    <w:rPr>
      <w:rFonts w:eastAsia="Times New Roman" w:cs="Arial"/>
      <w:sz w:val="22"/>
      <w:szCs w:val="22"/>
      <w:lang w:eastAsia="en-US"/>
    </w:rPr>
  </w:style>
  <w:style w:type="paragraph" w:styleId="Prrafodelista">
    <w:name w:val="List Paragraph"/>
    <w:basedOn w:val="Normal"/>
    <w:uiPriority w:val="34"/>
    <w:qFormat/>
    <w:rsid w:val="00ED50FC"/>
    <w:pPr>
      <w:ind w:left="720"/>
      <w:contextualSpacing/>
    </w:pPr>
    <w:rPr>
      <w:rFonts w:eastAsia="Calibri" w:cs="Times New Roman"/>
    </w:rPr>
  </w:style>
  <w:style w:type="paragraph" w:styleId="Textonotapie">
    <w:name w:val="footnote text"/>
    <w:basedOn w:val="Normal"/>
    <w:semiHidden/>
    <w:rsid w:val="00076DE6"/>
    <w:rPr>
      <w:sz w:val="20"/>
      <w:szCs w:val="20"/>
    </w:rPr>
  </w:style>
  <w:style w:type="character" w:styleId="Refdenotaalpie">
    <w:name w:val="footnote reference"/>
    <w:semiHidden/>
    <w:rsid w:val="00076DE6"/>
    <w:rPr>
      <w:vertAlign w:val="superscript"/>
    </w:rPr>
  </w:style>
  <w:style w:type="character" w:styleId="Textodelmarcadordeposicin">
    <w:name w:val="Placeholder Text"/>
    <w:basedOn w:val="Fuentedeprrafopredeter"/>
    <w:uiPriority w:val="99"/>
    <w:semiHidden/>
    <w:rsid w:val="000972C8"/>
    <w:rPr>
      <w:color w:val="808080"/>
    </w:rPr>
  </w:style>
  <w:style w:type="character" w:customStyle="1" w:styleId="Ttulo1Car">
    <w:name w:val="Título 1 Car"/>
    <w:basedOn w:val="Fuentedeprrafopredeter"/>
    <w:link w:val="Ttulo1"/>
    <w:uiPriority w:val="9"/>
    <w:rsid w:val="00E96D49"/>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E9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0295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Fla07</b:Tag>
    <b:SourceType>Book</b:SourceType>
    <b:Guid>{E74E1387-CA91-4B37-B43E-2E3D35F79669}</b:Guid>
    <b:Title>Índice de Desarrollo Municipal Básico 2005 (IDMb)</b:Title>
    <b:Year>2007</b:Year>
    <b:Publisher>Fondo de Investigación y Desarrollo Segob-Conacyt</b:Publisher>
    <b:Author>
      <b:Author>
        <b:NameList>
          <b:Person>
            <b:Last>Flamand</b:Last>
            <b:First>Laura</b:First>
          </b:Person>
          <b:Person>
            <b:Last>Martínez Pellégrini</b:Last>
            <b:First>Sárah</b:First>
          </b:Person>
          <b:Person>
            <b:Last>Hernández</b:Last>
            <b:First>Alberto</b:First>
          </b:Person>
        </b:NameList>
      </b:Author>
    </b:Author>
    <b:CountryRegion>México</b:CountryRegion>
    <b:RefOrder>1</b:RefOrder>
  </b:Source>
  <b:Source>
    <b:Tag>PNU03</b:Tag>
    <b:SourceType>ConferenceProceedings</b:SourceType>
    <b:Guid>{21AEACC9-702F-4F03-BAB0-341E95DD885E}</b:Guid>
    <b:Author>
      <b:Author>
        <b:NameList>
          <b:Person>
            <b:Last>PNUMA</b:Last>
          </b:Person>
        </b:NameList>
      </b:Author>
    </b:Author>
    <b:Title>Indicadores Ambientales</b:Title>
    <b:Year>2003</b:Year>
    <b:City>Panamá</b:City>
    <b:ConferenceName>XIV Reunión del Foro de Ministros de Medio Ambiente de América Latina y el Caribe</b:ConferenceName>
    <b:Pages>1-11</b:Pages>
    <b:RefOrder>2</b:RefOrder>
  </b:Source>
  <b:Source>
    <b:Tag>Qui09</b:Tag>
    <b:SourceType>Book</b:SourceType>
    <b:Guid>{6DE2689D-326B-489E-8B27-8168C81C18D8}</b:Guid>
    <b:Title>Guía metodológica para desarrollar indicadores ambientales y de desarrollo sostenible</b:Title>
    <b:Pages>129</b:Pages>
    <b:Year>2009</b:Year>
    <b:City>Santiago de Chile</b:City>
    <b:Publisher>CEPAL</b:Publisher>
    <b:Author>
      <b:Author>
        <b:NameList>
          <b:Person>
            <b:Last>Quiroga Martínez</b:Last>
            <b:First>Rayén</b:First>
          </b:Person>
        </b:NameList>
      </b:Author>
    </b:Author>
    <b:Volume>61</b:Volume>
    <b:Comments>Serie Manuales</b:Comments>
    <b:RefOrder>3</b:RefOrder>
  </b:Source>
  <b:Source>
    <b:Tag>SEM09</b:Tag>
    <b:SourceType>InternetSite</b:SourceType>
    <b:Guid>{C8965105-A1CC-4B8E-9ADF-86AA4B948977}</b:Guid>
    <b:Title>Indicadores Básicos del Desempeño Ambiental de México</b:Title>
    <b:Year>2009</b:Year>
    <b:YearAccessed>2011</b:YearAccessed>
    <b:MonthAccessed>Noviembre</b:MonthAccessed>
    <b:URL>http://app1.semarnat.gob.mx/dgeia/indicadores_2010_web/index.html</b:URL>
    <b:Author>
      <b:Author>
        <b:NameList>
          <b:Person>
            <b:Last>SEMARNAT</b:Last>
          </b:Person>
        </b:NameList>
      </b:Author>
    </b:Author>
    <b:RefOrder>4</b:RefOrder>
  </b:Source>
</b:Sources>
</file>

<file path=customXml/itemProps1.xml><?xml version="1.0" encoding="utf-8"?>
<ds:datastoreItem xmlns:ds="http://schemas.openxmlformats.org/officeDocument/2006/customXml" ds:itemID="{D3F82E0A-D786-436D-8BD5-524525F30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Pages>
  <Words>5293</Words>
  <Characters>29114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ÍNDICE MUNICIPAL DE MEDIO AMBIENTE</vt:lpstr>
    </vt:vector>
  </TitlesOfParts>
  <Company>IIT</Company>
  <LinksUpToDate>false</LinksUpToDate>
  <CharactersWithSpaces>34339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MUNICIPAL DE MEDIO AMBIENTE</dc:title>
  <dc:creator>setsoporte</dc:creator>
  <cp:lastModifiedBy>Maximiano Bautista Andalón</cp:lastModifiedBy>
  <cp:revision>3</cp:revision>
  <cp:lastPrinted>2011-10-25T18:10:00Z</cp:lastPrinted>
  <dcterms:created xsi:type="dcterms:W3CDTF">2011-12-07T15:00:00Z</dcterms:created>
  <dcterms:modified xsi:type="dcterms:W3CDTF">2011-12-07T21:28:00Z</dcterms:modified>
</cp:coreProperties>
</file>